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8EF" w14:textId="77777777" w:rsidR="00BE5669" w:rsidRDefault="00BE5669" w:rsidP="0062275F">
      <w:pPr>
        <w:pStyle w:val="HeadHatzaotHok"/>
        <w:rPr>
          <w:b w:val="0"/>
          <w:bCs w:val="0"/>
          <w:rtl/>
        </w:rPr>
      </w:pPr>
      <w:bookmarkStart w:id="0" w:name="LGS_Subject"/>
    </w:p>
    <w:p w14:paraId="15603D7F" w14:textId="032FE658" w:rsidR="009D2BC6" w:rsidRPr="00BE5669" w:rsidRDefault="00BE5669" w:rsidP="0062275F">
      <w:pPr>
        <w:pStyle w:val="HeadHatzaotHok"/>
        <w:rPr>
          <w:sz w:val="48"/>
          <w:szCs w:val="48"/>
          <w:rtl/>
        </w:rPr>
      </w:pPr>
      <w:r w:rsidRPr="00BE5669">
        <w:rPr>
          <w:rFonts w:hint="cs"/>
          <w:sz w:val="48"/>
          <w:szCs w:val="48"/>
          <w:rtl/>
        </w:rPr>
        <w:t xml:space="preserve">תיק תוכנית עבודה פרלמנטרית </w:t>
      </w:r>
      <w:r w:rsidR="00CB36AE">
        <w:rPr>
          <w:rFonts w:hint="cs"/>
          <w:sz w:val="48"/>
          <w:szCs w:val="48"/>
          <w:rtl/>
        </w:rPr>
        <w:t>-</w:t>
      </w:r>
    </w:p>
    <w:p w14:paraId="0BDFDD6E" w14:textId="2CF78DA1" w:rsidR="00BE5669" w:rsidRPr="00BE5669" w:rsidRDefault="00CB36AE" w:rsidP="0062275F">
      <w:pPr>
        <w:pStyle w:val="HeadHatzaotHok"/>
        <w:rPr>
          <w:sz w:val="48"/>
          <w:szCs w:val="48"/>
          <w:rtl/>
        </w:rPr>
      </w:pPr>
      <w:r>
        <w:rPr>
          <w:rFonts w:hint="cs"/>
          <w:sz w:val="48"/>
          <w:szCs w:val="48"/>
          <w:rtl/>
        </w:rPr>
        <w:t>צוות</w:t>
      </w:r>
      <w:r w:rsidR="00BE5669" w:rsidRPr="00BE5669">
        <w:rPr>
          <w:rFonts w:hint="cs"/>
          <w:sz w:val="48"/>
          <w:szCs w:val="48"/>
          <w:rtl/>
        </w:rPr>
        <w:t xml:space="preserve"> מנגנונים כלכליים</w:t>
      </w:r>
    </w:p>
    <w:p w14:paraId="47804F0B" w14:textId="3EDC84C8" w:rsidR="00BE5669" w:rsidRDefault="00BE5669" w:rsidP="0062275F">
      <w:pPr>
        <w:pStyle w:val="HeadHatzaotHok"/>
        <w:rPr>
          <w:sz w:val="48"/>
          <w:szCs w:val="48"/>
          <w:rtl/>
        </w:rPr>
      </w:pPr>
      <w:r w:rsidRPr="00BE5669">
        <w:rPr>
          <w:rFonts w:hint="cs"/>
          <w:sz w:val="48"/>
          <w:szCs w:val="48"/>
          <w:rtl/>
        </w:rPr>
        <w:t xml:space="preserve">מוגש ע״י אור ברק </w:t>
      </w:r>
      <w:proofErr w:type="spellStart"/>
      <w:r w:rsidRPr="00BE5669">
        <w:rPr>
          <w:rFonts w:hint="cs"/>
          <w:sz w:val="48"/>
          <w:szCs w:val="48"/>
          <w:rtl/>
        </w:rPr>
        <w:t>ונאדין</w:t>
      </w:r>
      <w:proofErr w:type="spellEnd"/>
      <w:r w:rsidRPr="00BE5669">
        <w:rPr>
          <w:rFonts w:hint="cs"/>
          <w:sz w:val="48"/>
          <w:szCs w:val="48"/>
          <w:rtl/>
        </w:rPr>
        <w:t xml:space="preserve"> </w:t>
      </w:r>
      <w:proofErr w:type="spellStart"/>
      <w:r w:rsidRPr="00BE5669">
        <w:rPr>
          <w:rFonts w:hint="cs"/>
          <w:sz w:val="48"/>
          <w:szCs w:val="48"/>
          <w:rtl/>
        </w:rPr>
        <w:t>ותד</w:t>
      </w:r>
      <w:proofErr w:type="spellEnd"/>
      <w:r w:rsidRPr="00BE5669">
        <w:rPr>
          <w:rFonts w:hint="cs"/>
          <w:sz w:val="48"/>
          <w:szCs w:val="48"/>
          <w:rtl/>
        </w:rPr>
        <w:t xml:space="preserve"> </w:t>
      </w:r>
    </w:p>
    <w:p w14:paraId="2CDEBC4E" w14:textId="538BA973" w:rsidR="00664800" w:rsidRDefault="00664800" w:rsidP="0062275F">
      <w:pPr>
        <w:pStyle w:val="HeadHatzaotHok"/>
        <w:rPr>
          <w:sz w:val="48"/>
          <w:szCs w:val="48"/>
          <w:rtl/>
        </w:rPr>
      </w:pPr>
      <w:r>
        <w:rPr>
          <w:rFonts w:hint="cs"/>
          <w:sz w:val="48"/>
          <w:szCs w:val="48"/>
          <w:rtl/>
        </w:rPr>
        <w:t>ת</w:t>
      </w:r>
      <w:r w:rsidR="00855106">
        <w:rPr>
          <w:rFonts w:hint="cs"/>
          <w:sz w:val="48"/>
          <w:szCs w:val="48"/>
          <w:rtl/>
        </w:rPr>
        <w:t>.</w:t>
      </w:r>
      <w:r>
        <w:rPr>
          <w:rFonts w:hint="cs"/>
          <w:sz w:val="48"/>
          <w:szCs w:val="48"/>
          <w:rtl/>
        </w:rPr>
        <w:t>ז</w:t>
      </w:r>
      <w:r w:rsidR="00CB36AE">
        <w:rPr>
          <w:rFonts w:hint="cs"/>
          <w:sz w:val="48"/>
          <w:szCs w:val="48"/>
          <w:rtl/>
        </w:rPr>
        <w:t>:</w:t>
      </w:r>
      <w:r>
        <w:rPr>
          <w:rFonts w:hint="cs"/>
          <w:sz w:val="48"/>
          <w:szCs w:val="48"/>
          <w:rtl/>
        </w:rPr>
        <w:t xml:space="preserve"> 31150770</w:t>
      </w:r>
      <w:r w:rsidR="00CB36AE">
        <w:rPr>
          <w:rFonts w:hint="cs"/>
          <w:sz w:val="48"/>
          <w:szCs w:val="48"/>
          <w:rtl/>
        </w:rPr>
        <w:t>1</w:t>
      </w:r>
    </w:p>
    <w:p w14:paraId="058B24FA" w14:textId="4C6AE812" w:rsidR="00664800" w:rsidRPr="00BE5669" w:rsidRDefault="00664800" w:rsidP="0062275F">
      <w:pPr>
        <w:pStyle w:val="HeadHatzaotHok"/>
        <w:rPr>
          <w:sz w:val="48"/>
          <w:szCs w:val="48"/>
          <w:rtl/>
        </w:rPr>
      </w:pPr>
      <w:r>
        <w:rPr>
          <w:rFonts w:hint="cs"/>
          <w:sz w:val="48"/>
          <w:szCs w:val="48"/>
          <w:rtl/>
        </w:rPr>
        <w:t>212166482</w:t>
      </w:r>
    </w:p>
    <w:p w14:paraId="7DA4CED2" w14:textId="613578D8" w:rsidR="00BE5669" w:rsidRPr="00BE5669" w:rsidRDefault="00BE5669" w:rsidP="0062275F">
      <w:pPr>
        <w:pStyle w:val="HeadHatzaotHok"/>
        <w:rPr>
          <w:sz w:val="48"/>
          <w:szCs w:val="48"/>
          <w:rtl/>
        </w:rPr>
      </w:pPr>
      <w:r w:rsidRPr="00BE5669">
        <w:rPr>
          <w:rFonts w:hint="cs"/>
          <w:sz w:val="48"/>
          <w:szCs w:val="48"/>
          <w:rtl/>
        </w:rPr>
        <w:t xml:space="preserve">במסגרת קליניקת הכנסת </w:t>
      </w:r>
      <w:r w:rsidRPr="00BE5669">
        <w:rPr>
          <w:sz w:val="48"/>
          <w:szCs w:val="48"/>
          <w:rtl/>
        </w:rPr>
        <w:t>–</w:t>
      </w:r>
      <w:r w:rsidRPr="00BE5669">
        <w:rPr>
          <w:rFonts w:hint="cs"/>
          <w:sz w:val="48"/>
          <w:szCs w:val="48"/>
          <w:rtl/>
        </w:rPr>
        <w:t xml:space="preserve"> אוניברסיטת תל אביב</w:t>
      </w:r>
    </w:p>
    <w:p w14:paraId="5B69E7D5" w14:textId="71615A92" w:rsidR="00BE5669" w:rsidRPr="00BE5669" w:rsidRDefault="00BE5669" w:rsidP="00664800">
      <w:pPr>
        <w:pStyle w:val="HeadHatzaotHok"/>
        <w:rPr>
          <w:sz w:val="48"/>
          <w:szCs w:val="48"/>
          <w:rtl/>
        </w:rPr>
      </w:pPr>
      <w:r w:rsidRPr="00BE5669">
        <w:rPr>
          <w:rFonts w:hint="cs"/>
          <w:sz w:val="48"/>
          <w:szCs w:val="48"/>
          <w:rtl/>
        </w:rPr>
        <w:t>מנחה: עו״ד דב חנין</w:t>
      </w:r>
    </w:p>
    <w:p w14:paraId="1DA55924" w14:textId="05A33B71" w:rsidR="00BE5669" w:rsidRDefault="00BE5669" w:rsidP="0062275F">
      <w:pPr>
        <w:pStyle w:val="HeadHatzaotHok"/>
        <w:rPr>
          <w:sz w:val="48"/>
          <w:szCs w:val="48"/>
          <w:rtl/>
        </w:rPr>
      </w:pPr>
      <w:proofErr w:type="spellStart"/>
      <w:r w:rsidRPr="00BE5669">
        <w:rPr>
          <w:rFonts w:hint="cs"/>
          <w:sz w:val="48"/>
          <w:szCs w:val="48"/>
          <w:rtl/>
        </w:rPr>
        <w:t>התשפ״א</w:t>
      </w:r>
      <w:proofErr w:type="spellEnd"/>
      <w:r w:rsidRPr="00BE5669">
        <w:rPr>
          <w:rFonts w:hint="cs"/>
          <w:sz w:val="48"/>
          <w:szCs w:val="48"/>
          <w:rtl/>
        </w:rPr>
        <w:t xml:space="preserve"> 2021</w:t>
      </w:r>
    </w:p>
    <w:p w14:paraId="622C1113" w14:textId="4F97FA7D" w:rsidR="00BE5669" w:rsidRDefault="00BE5669" w:rsidP="0062275F">
      <w:pPr>
        <w:pStyle w:val="HeadHatzaotHok"/>
        <w:rPr>
          <w:sz w:val="48"/>
          <w:szCs w:val="48"/>
          <w:rtl/>
        </w:rPr>
      </w:pPr>
    </w:p>
    <w:p w14:paraId="14717F87" w14:textId="61362A05" w:rsidR="00BE5669" w:rsidRDefault="00BE5669" w:rsidP="0062275F">
      <w:pPr>
        <w:pStyle w:val="HeadHatzaotHok"/>
        <w:rPr>
          <w:sz w:val="48"/>
          <w:szCs w:val="48"/>
          <w:rtl/>
        </w:rPr>
      </w:pPr>
    </w:p>
    <w:p w14:paraId="75F6E2B2" w14:textId="1B63C18D" w:rsidR="00BE5669" w:rsidRDefault="00BE5669" w:rsidP="0062275F">
      <w:pPr>
        <w:pStyle w:val="HeadHatzaotHok"/>
        <w:rPr>
          <w:sz w:val="48"/>
          <w:szCs w:val="48"/>
          <w:rtl/>
        </w:rPr>
      </w:pPr>
    </w:p>
    <w:p w14:paraId="5D04ED80" w14:textId="211838F2" w:rsidR="00BE5669" w:rsidRDefault="00BE5669" w:rsidP="0062275F">
      <w:pPr>
        <w:pStyle w:val="HeadHatzaotHok"/>
        <w:rPr>
          <w:sz w:val="48"/>
          <w:szCs w:val="48"/>
          <w:rtl/>
        </w:rPr>
      </w:pPr>
    </w:p>
    <w:p w14:paraId="1DA0954B" w14:textId="77777777" w:rsidR="00C53290" w:rsidRDefault="00C53290" w:rsidP="00BE5669">
      <w:pPr>
        <w:pStyle w:val="HeadHatzaotHok"/>
        <w:jc w:val="both"/>
        <w:rPr>
          <w:sz w:val="48"/>
          <w:szCs w:val="48"/>
          <w:rtl/>
        </w:rPr>
      </w:pPr>
    </w:p>
    <w:p w14:paraId="7F122781" w14:textId="0082310E" w:rsidR="00BE5669" w:rsidRPr="001E089A" w:rsidRDefault="00BE5669" w:rsidP="00BE5669">
      <w:pPr>
        <w:pStyle w:val="HeadHatzaotHok"/>
        <w:jc w:val="both"/>
        <w:rPr>
          <w:sz w:val="24"/>
          <w:szCs w:val="24"/>
          <w:u w:val="single"/>
          <w:rtl/>
        </w:rPr>
      </w:pPr>
      <w:r w:rsidRPr="001E089A">
        <w:rPr>
          <w:rFonts w:hint="cs"/>
          <w:sz w:val="24"/>
          <w:szCs w:val="24"/>
          <w:u w:val="single"/>
          <w:rtl/>
        </w:rPr>
        <w:lastRenderedPageBreak/>
        <w:t>תוכן עניינים:</w:t>
      </w:r>
    </w:p>
    <w:tbl>
      <w:tblPr>
        <w:tblStyle w:val="TableGrid"/>
        <w:bidiVisual/>
        <w:tblW w:w="8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2"/>
        <w:gridCol w:w="982"/>
      </w:tblGrid>
      <w:tr w:rsidR="006A7706" w14:paraId="0AE26C72" w14:textId="77777777" w:rsidTr="001E089A">
        <w:tc>
          <w:tcPr>
            <w:tcW w:w="7602" w:type="dxa"/>
          </w:tcPr>
          <w:p w14:paraId="0DD398D3" w14:textId="21359571" w:rsidR="006A7706" w:rsidRPr="008A4B58" w:rsidRDefault="006A7706" w:rsidP="00BE5669">
            <w:pPr>
              <w:pStyle w:val="HeadHatzaotHok"/>
              <w:jc w:val="both"/>
              <w:rPr>
                <w:rFonts w:ascii="David" w:eastAsiaTheme="majorEastAsia" w:hAnsi="David"/>
                <w:snapToGrid/>
                <w:color w:val="000000" w:themeColor="text1"/>
                <w:sz w:val="24"/>
                <w:szCs w:val="24"/>
                <w:rtl/>
                <w:lang w:eastAsia="en-US"/>
              </w:rPr>
            </w:pPr>
            <w:r w:rsidRPr="008A4B58">
              <w:rPr>
                <w:rFonts w:ascii="David" w:eastAsiaTheme="majorEastAsia" w:hAnsi="David" w:hint="cs"/>
                <w:snapToGrid/>
                <w:color w:val="000000" w:themeColor="text1"/>
                <w:sz w:val="24"/>
                <w:szCs w:val="24"/>
                <w:rtl/>
                <w:lang w:eastAsia="en-US"/>
              </w:rPr>
              <w:t>מבוא</w:t>
            </w:r>
          </w:p>
        </w:tc>
        <w:tc>
          <w:tcPr>
            <w:tcW w:w="982" w:type="dxa"/>
          </w:tcPr>
          <w:p w14:paraId="099A98BE" w14:textId="1FB2D151" w:rsidR="006A7706" w:rsidRPr="00941F62" w:rsidRDefault="006A7706" w:rsidP="00BE5669">
            <w:pPr>
              <w:pStyle w:val="HeadHatzaotHok"/>
              <w:jc w:val="both"/>
              <w:rPr>
                <w:rFonts w:ascii="David" w:eastAsiaTheme="majorEastAsia" w:hAnsi="David"/>
                <w:snapToGrid/>
                <w:color w:val="000000" w:themeColor="text1"/>
                <w:sz w:val="24"/>
                <w:szCs w:val="24"/>
                <w:rtl/>
                <w:lang w:eastAsia="en-US"/>
              </w:rPr>
            </w:pPr>
            <w:r w:rsidRPr="00941F62">
              <w:rPr>
                <w:rFonts w:ascii="David" w:eastAsiaTheme="majorEastAsia" w:hAnsi="David" w:hint="cs"/>
                <w:snapToGrid/>
                <w:color w:val="000000" w:themeColor="text1"/>
                <w:sz w:val="24"/>
                <w:szCs w:val="24"/>
                <w:rtl/>
                <w:lang w:eastAsia="en-US"/>
              </w:rPr>
              <w:t>3</w:t>
            </w:r>
          </w:p>
        </w:tc>
      </w:tr>
      <w:tr w:rsidR="006A7706" w14:paraId="1E366799" w14:textId="77777777" w:rsidTr="001E089A">
        <w:tc>
          <w:tcPr>
            <w:tcW w:w="7602" w:type="dxa"/>
          </w:tcPr>
          <w:p w14:paraId="2B670677" w14:textId="13259970" w:rsidR="006A7706" w:rsidRPr="008A4B58" w:rsidRDefault="006A5E0F" w:rsidP="006A5E0F">
            <w:pPr>
              <w:pStyle w:val="HeadHatzaotHok"/>
              <w:jc w:val="both"/>
              <w:rPr>
                <w:sz w:val="24"/>
                <w:szCs w:val="24"/>
                <w:rtl/>
              </w:rPr>
            </w:pPr>
            <w:r w:rsidRPr="008A4B58">
              <w:rPr>
                <w:rFonts w:hint="cs"/>
                <w:sz w:val="24"/>
                <w:szCs w:val="24"/>
                <w:rtl/>
              </w:rPr>
              <w:t>הצעת חוק החברות הממשלתיות (תיקון – חובת דיווח סביבתי), התשפ״א-2021</w:t>
            </w:r>
          </w:p>
        </w:tc>
        <w:tc>
          <w:tcPr>
            <w:tcW w:w="982" w:type="dxa"/>
          </w:tcPr>
          <w:p w14:paraId="2A6FCDC9" w14:textId="0E1D733B" w:rsidR="006A7706" w:rsidRPr="00941F62"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8</w:t>
            </w:r>
          </w:p>
        </w:tc>
      </w:tr>
      <w:tr w:rsidR="006A7706" w14:paraId="5AAE691E" w14:textId="77777777" w:rsidTr="001E089A">
        <w:tc>
          <w:tcPr>
            <w:tcW w:w="7602" w:type="dxa"/>
          </w:tcPr>
          <w:p w14:paraId="28310850" w14:textId="1CD1C68D" w:rsidR="006A7706" w:rsidRPr="008A4B58" w:rsidRDefault="006A5E0F" w:rsidP="006A5E0F">
            <w:pPr>
              <w:pStyle w:val="HeadHatzaotHok"/>
              <w:jc w:val="both"/>
              <w:rPr>
                <w:sz w:val="24"/>
                <w:szCs w:val="24"/>
                <w:rtl/>
              </w:rPr>
            </w:pPr>
            <w:r w:rsidRPr="008A4B58">
              <w:rPr>
                <w:sz w:val="24"/>
                <w:szCs w:val="24"/>
                <w:rtl/>
              </w:rPr>
              <w:t>הצעת חוק הפיקוח על שירותים פיננסים</w:t>
            </w:r>
            <w:r w:rsidRPr="008A4B58">
              <w:rPr>
                <w:rFonts w:hint="cs"/>
                <w:sz w:val="24"/>
                <w:szCs w:val="24"/>
                <w:rtl/>
              </w:rPr>
              <w:t xml:space="preserve"> </w:t>
            </w:r>
            <w:r w:rsidRPr="008A4B58">
              <w:rPr>
                <w:sz w:val="24"/>
                <w:szCs w:val="24"/>
                <w:rtl/>
              </w:rPr>
              <w:t>(קופות גמל) (תיקון</w:t>
            </w:r>
            <w:r w:rsidRPr="008A4B58">
              <w:rPr>
                <w:rFonts w:hint="cs"/>
                <w:sz w:val="24"/>
                <w:szCs w:val="24"/>
                <w:rtl/>
              </w:rPr>
              <w:t>–</w:t>
            </w:r>
            <w:r w:rsidRPr="008A4B58">
              <w:rPr>
                <w:sz w:val="24"/>
                <w:szCs w:val="24"/>
                <w:rtl/>
              </w:rPr>
              <w:t xml:space="preserve">חשיפת מדיניות סביבתית), </w:t>
            </w:r>
            <w:r w:rsidRPr="008A4B58">
              <w:rPr>
                <w:rFonts w:hint="cs"/>
                <w:sz w:val="24"/>
                <w:szCs w:val="24"/>
                <w:rtl/>
              </w:rPr>
              <w:t>התשפ״א-2021</w:t>
            </w:r>
          </w:p>
        </w:tc>
        <w:tc>
          <w:tcPr>
            <w:tcW w:w="982" w:type="dxa"/>
          </w:tcPr>
          <w:p w14:paraId="7C18B396" w14:textId="3D9BFB69" w:rsidR="006A7706" w:rsidRPr="00941F62"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10</w:t>
            </w:r>
          </w:p>
        </w:tc>
      </w:tr>
      <w:tr w:rsidR="006A7706" w14:paraId="631E7B9C" w14:textId="77777777" w:rsidTr="001E089A">
        <w:tc>
          <w:tcPr>
            <w:tcW w:w="7602" w:type="dxa"/>
          </w:tcPr>
          <w:p w14:paraId="700385D4" w14:textId="4B2BC8C5" w:rsidR="006A7706" w:rsidRPr="008A4B58" w:rsidRDefault="006E7DDE" w:rsidP="00BE5669">
            <w:pPr>
              <w:pStyle w:val="HeadHatzaotHok"/>
              <w:jc w:val="both"/>
              <w:rPr>
                <w:rFonts w:ascii="David" w:eastAsiaTheme="majorEastAsia" w:hAnsi="David"/>
                <w:snapToGrid/>
                <w:color w:val="2F5496" w:themeColor="accent1" w:themeShade="BF"/>
                <w:sz w:val="24"/>
                <w:szCs w:val="24"/>
                <w:rtl/>
                <w:lang w:eastAsia="en-US"/>
              </w:rPr>
            </w:pPr>
            <w:r w:rsidRPr="008A4B58">
              <w:rPr>
                <w:rFonts w:ascii="David" w:eastAsiaTheme="majorEastAsia" w:hAnsi="David" w:hint="cs"/>
                <w:snapToGrid/>
                <w:color w:val="000000" w:themeColor="text1"/>
                <w:sz w:val="24"/>
                <w:szCs w:val="24"/>
                <w:rtl/>
                <w:lang w:eastAsia="en-US"/>
              </w:rPr>
              <w:t>הצעת חוק ניירות ערך (תיקון – חובת דיווח על תמיכות סביבתיות), התשפ״א-2021</w:t>
            </w:r>
          </w:p>
        </w:tc>
        <w:tc>
          <w:tcPr>
            <w:tcW w:w="982" w:type="dxa"/>
          </w:tcPr>
          <w:p w14:paraId="5231FF5D" w14:textId="1BC8A5A8" w:rsidR="006A7706" w:rsidRPr="00941F62"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12</w:t>
            </w:r>
          </w:p>
        </w:tc>
      </w:tr>
      <w:tr w:rsidR="006A7706" w14:paraId="26210348" w14:textId="77777777" w:rsidTr="001E089A">
        <w:tc>
          <w:tcPr>
            <w:tcW w:w="7602" w:type="dxa"/>
          </w:tcPr>
          <w:p w14:paraId="2378EDEF" w14:textId="179F483D" w:rsidR="006A7706" w:rsidRPr="008A4B58" w:rsidRDefault="00756183" w:rsidP="00756183">
            <w:pPr>
              <w:pStyle w:val="HeadHatzaotHok"/>
              <w:jc w:val="both"/>
              <w:rPr>
                <w:sz w:val="24"/>
                <w:szCs w:val="24"/>
                <w:rtl/>
              </w:rPr>
            </w:pPr>
            <w:r w:rsidRPr="008A4B58">
              <w:rPr>
                <w:sz w:val="24"/>
                <w:szCs w:val="24"/>
                <w:rtl/>
              </w:rPr>
              <w:t xml:space="preserve">הצעת חוק לתיקון פקודת מס הכנסה (זיכוי בגין תרומה לפרויקטים </w:t>
            </w:r>
            <w:r w:rsidRPr="008A4B58">
              <w:rPr>
                <w:rFonts w:hint="cs"/>
                <w:sz w:val="24"/>
                <w:szCs w:val="24"/>
                <w:rtl/>
              </w:rPr>
              <w:t>סביבתיים</w:t>
            </w:r>
            <w:r w:rsidRPr="008A4B58">
              <w:rPr>
                <w:sz w:val="24"/>
                <w:szCs w:val="24"/>
                <w:rtl/>
              </w:rPr>
              <w:t xml:space="preserve">), </w:t>
            </w:r>
            <w:r w:rsidRPr="008A4B58">
              <w:rPr>
                <w:rFonts w:hint="cs"/>
                <w:sz w:val="24"/>
                <w:szCs w:val="24"/>
                <w:rtl/>
              </w:rPr>
              <w:t>התשפ״א-2021</w:t>
            </w:r>
          </w:p>
        </w:tc>
        <w:tc>
          <w:tcPr>
            <w:tcW w:w="982" w:type="dxa"/>
          </w:tcPr>
          <w:p w14:paraId="714CB0A1" w14:textId="4F719FA9" w:rsidR="006A7706" w:rsidRPr="00941F62"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13</w:t>
            </w:r>
          </w:p>
        </w:tc>
      </w:tr>
      <w:tr w:rsidR="006A7706" w14:paraId="2963C2C4" w14:textId="77777777" w:rsidTr="001E089A">
        <w:tc>
          <w:tcPr>
            <w:tcW w:w="7602" w:type="dxa"/>
          </w:tcPr>
          <w:p w14:paraId="5B879F1F" w14:textId="2793908A" w:rsidR="006A7706" w:rsidRPr="008A4B58" w:rsidRDefault="008A4B58" w:rsidP="008A4B58">
            <w:pPr>
              <w:pStyle w:val="HeadHatzaotHok"/>
              <w:jc w:val="both"/>
              <w:rPr>
                <w:sz w:val="24"/>
                <w:szCs w:val="24"/>
                <w:rtl/>
              </w:rPr>
            </w:pPr>
            <w:r w:rsidRPr="008A4B58">
              <w:rPr>
                <w:rFonts w:hint="cs"/>
                <w:sz w:val="24"/>
                <w:szCs w:val="24"/>
                <w:rtl/>
              </w:rPr>
              <w:t>הצעת חוק אחריות סביבתית (חובת דיווח), התשפ״א-2021</w:t>
            </w:r>
          </w:p>
        </w:tc>
        <w:tc>
          <w:tcPr>
            <w:tcW w:w="982" w:type="dxa"/>
          </w:tcPr>
          <w:p w14:paraId="7CF04A6A" w14:textId="3D9D2ABC" w:rsidR="006A7706" w:rsidRPr="00941F62"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14</w:t>
            </w:r>
          </w:p>
        </w:tc>
      </w:tr>
      <w:tr w:rsidR="006A7706" w14:paraId="595687C6" w14:textId="77777777" w:rsidTr="001E089A">
        <w:tc>
          <w:tcPr>
            <w:tcW w:w="7602" w:type="dxa"/>
          </w:tcPr>
          <w:p w14:paraId="73338F39" w14:textId="249AF77E" w:rsidR="00C53290" w:rsidRPr="00C53290" w:rsidRDefault="008A4B58" w:rsidP="00C53290">
            <w:pPr>
              <w:spacing w:line="360" w:lineRule="auto"/>
              <w:ind w:firstLine="0"/>
              <w:rPr>
                <w:rFonts w:ascii="David" w:hAnsi="David" w:cs="David"/>
                <w:b/>
                <w:bCs/>
                <w:sz w:val="24"/>
                <w:szCs w:val="24"/>
                <w:rtl/>
              </w:rPr>
            </w:pPr>
            <w:r w:rsidRPr="008A4B58">
              <w:rPr>
                <w:rFonts w:ascii="David" w:hAnsi="David" w:cs="David" w:hint="cs"/>
                <w:b/>
                <w:bCs/>
                <w:sz w:val="24"/>
                <w:szCs w:val="24"/>
                <w:rtl/>
              </w:rPr>
              <w:t>הצעת חוק מס פחמן, התשפ״א-2021</w:t>
            </w:r>
          </w:p>
        </w:tc>
        <w:tc>
          <w:tcPr>
            <w:tcW w:w="982" w:type="dxa"/>
          </w:tcPr>
          <w:p w14:paraId="1C0A7C7D" w14:textId="3F693B12" w:rsidR="006A7706" w:rsidRPr="00941F62"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20</w:t>
            </w:r>
          </w:p>
        </w:tc>
      </w:tr>
      <w:tr w:rsidR="00C53290" w14:paraId="7AB99B2B" w14:textId="77777777" w:rsidTr="001E089A">
        <w:tc>
          <w:tcPr>
            <w:tcW w:w="7602" w:type="dxa"/>
          </w:tcPr>
          <w:p w14:paraId="2F702664" w14:textId="04CD7739" w:rsidR="00C53290" w:rsidRPr="00C53290" w:rsidRDefault="00C53290" w:rsidP="00C53290">
            <w:pPr>
              <w:spacing w:line="360" w:lineRule="auto"/>
              <w:ind w:firstLine="0"/>
              <w:rPr>
                <w:rFonts w:ascii="David" w:hAnsi="David" w:cs="David"/>
                <w:b/>
                <w:bCs/>
                <w:sz w:val="24"/>
                <w:szCs w:val="24"/>
                <w:rtl/>
              </w:rPr>
            </w:pPr>
            <w:r w:rsidRPr="00C53290">
              <w:rPr>
                <w:rFonts w:ascii="David" w:hAnsi="David" w:cs="David" w:hint="cs"/>
                <w:b/>
                <w:bCs/>
                <w:sz w:val="24"/>
                <w:szCs w:val="24"/>
                <w:rtl/>
              </w:rPr>
              <w:t xml:space="preserve">הצעת חוק ניירות ערך (תיקון - חובת גילוי בדוחות הכספיים של חברות ציבוריות אודות סיכונים סביבתיים),  </w:t>
            </w:r>
            <w:proofErr w:type="spellStart"/>
            <w:r w:rsidRPr="00C53290">
              <w:rPr>
                <w:rFonts w:ascii="David" w:hAnsi="David" w:cs="David" w:hint="cs"/>
                <w:b/>
                <w:bCs/>
                <w:sz w:val="24"/>
                <w:szCs w:val="24"/>
                <w:rtl/>
              </w:rPr>
              <w:t>התשפ"א</w:t>
            </w:r>
            <w:proofErr w:type="spellEnd"/>
            <w:r w:rsidRPr="00C53290">
              <w:rPr>
                <w:rFonts w:ascii="David" w:hAnsi="David" w:cs="David" w:hint="cs"/>
                <w:b/>
                <w:bCs/>
                <w:sz w:val="24"/>
                <w:szCs w:val="24"/>
                <w:rtl/>
              </w:rPr>
              <w:t xml:space="preserve"> </w:t>
            </w:r>
            <w:r w:rsidRPr="00C53290">
              <w:rPr>
                <w:rFonts w:ascii="David" w:hAnsi="David" w:cs="David" w:hint="cs"/>
                <w:b/>
                <w:bCs/>
                <w:sz w:val="24"/>
                <w:szCs w:val="24"/>
              </w:rPr>
              <w:t xml:space="preserve"> –</w:t>
            </w:r>
            <w:r w:rsidRPr="00C53290">
              <w:rPr>
                <w:rFonts w:ascii="David" w:hAnsi="David" w:cs="David" w:hint="cs"/>
                <w:b/>
                <w:bCs/>
                <w:sz w:val="24"/>
                <w:szCs w:val="24"/>
                <w:rtl/>
              </w:rPr>
              <w:t>2021</w:t>
            </w:r>
          </w:p>
        </w:tc>
        <w:tc>
          <w:tcPr>
            <w:tcW w:w="982" w:type="dxa"/>
          </w:tcPr>
          <w:p w14:paraId="7C7DA1EA" w14:textId="392D9F1E" w:rsidR="00C53290" w:rsidRPr="00C53290"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25</w:t>
            </w:r>
          </w:p>
        </w:tc>
      </w:tr>
      <w:tr w:rsidR="00C53290" w14:paraId="1893B04A" w14:textId="77777777" w:rsidTr="001E089A">
        <w:tc>
          <w:tcPr>
            <w:tcW w:w="7602" w:type="dxa"/>
          </w:tcPr>
          <w:p w14:paraId="7109A070" w14:textId="0E32F07F" w:rsidR="00C53290" w:rsidRPr="00C53290" w:rsidRDefault="00C53290" w:rsidP="00C53290">
            <w:pPr>
              <w:spacing w:line="360" w:lineRule="auto"/>
              <w:ind w:firstLine="0"/>
              <w:rPr>
                <w:rFonts w:ascii="David" w:hAnsi="David" w:cs="David"/>
                <w:b/>
                <w:bCs/>
                <w:sz w:val="24"/>
                <w:szCs w:val="24"/>
                <w:rtl/>
              </w:rPr>
            </w:pPr>
            <w:r w:rsidRPr="00C53290">
              <w:rPr>
                <w:rFonts w:ascii="David" w:hAnsi="David" w:cs="David" w:hint="cs"/>
                <w:b/>
                <w:bCs/>
                <w:sz w:val="24"/>
                <w:szCs w:val="24"/>
                <w:rtl/>
              </w:rPr>
              <w:t xml:space="preserve">הצעת חוק ניירות ערך (תיקון - חובת גילוי בדוחות הכספיים של חברות ציבוריות אודות תביעות הנוגעות למפגעים סביבתיים),  </w:t>
            </w:r>
            <w:proofErr w:type="spellStart"/>
            <w:r w:rsidRPr="00C53290">
              <w:rPr>
                <w:rFonts w:ascii="David" w:hAnsi="David" w:cs="David" w:hint="cs"/>
                <w:b/>
                <w:bCs/>
                <w:sz w:val="24"/>
                <w:szCs w:val="24"/>
                <w:rtl/>
              </w:rPr>
              <w:t>התשפ"א</w:t>
            </w:r>
            <w:proofErr w:type="spellEnd"/>
            <w:r w:rsidRPr="00C53290">
              <w:rPr>
                <w:rFonts w:ascii="David" w:hAnsi="David" w:cs="David" w:hint="cs"/>
                <w:b/>
                <w:bCs/>
                <w:sz w:val="24"/>
                <w:szCs w:val="24"/>
                <w:rtl/>
              </w:rPr>
              <w:t xml:space="preserve"> </w:t>
            </w:r>
            <w:r w:rsidRPr="00C53290">
              <w:rPr>
                <w:rFonts w:ascii="David" w:hAnsi="David" w:cs="David" w:hint="cs"/>
                <w:b/>
                <w:bCs/>
                <w:sz w:val="24"/>
                <w:szCs w:val="24"/>
              </w:rPr>
              <w:t xml:space="preserve"> –</w:t>
            </w:r>
            <w:r w:rsidRPr="00C53290">
              <w:rPr>
                <w:rFonts w:ascii="David" w:hAnsi="David" w:cs="David" w:hint="cs"/>
                <w:b/>
                <w:bCs/>
                <w:sz w:val="24"/>
                <w:szCs w:val="24"/>
                <w:rtl/>
              </w:rPr>
              <w:t>2021</w:t>
            </w:r>
          </w:p>
        </w:tc>
        <w:tc>
          <w:tcPr>
            <w:tcW w:w="982" w:type="dxa"/>
          </w:tcPr>
          <w:p w14:paraId="195CCF91" w14:textId="0C87669C" w:rsidR="00C53290" w:rsidRPr="00C53290"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27</w:t>
            </w:r>
          </w:p>
        </w:tc>
      </w:tr>
      <w:tr w:rsidR="00C53290" w14:paraId="155724C8" w14:textId="77777777" w:rsidTr="001E089A">
        <w:tc>
          <w:tcPr>
            <w:tcW w:w="7602" w:type="dxa"/>
          </w:tcPr>
          <w:p w14:paraId="0046B872" w14:textId="1A2D7B87" w:rsidR="00C53290" w:rsidRPr="00C53290" w:rsidRDefault="00C53290" w:rsidP="00C53290">
            <w:pPr>
              <w:spacing w:line="360" w:lineRule="auto"/>
              <w:ind w:firstLine="0"/>
              <w:rPr>
                <w:rFonts w:ascii="David" w:hAnsi="David" w:cs="David"/>
                <w:b/>
                <w:bCs/>
                <w:sz w:val="24"/>
                <w:szCs w:val="24"/>
                <w:rtl/>
              </w:rPr>
            </w:pPr>
            <w:r w:rsidRPr="00E56367">
              <w:rPr>
                <w:rFonts w:ascii="David" w:eastAsia="Arial Unicode MS" w:hAnsi="David" w:cs="David" w:hint="cs"/>
                <w:b/>
                <w:bCs/>
                <w:snapToGrid w:val="0"/>
                <w:spacing w:val="0"/>
                <w:sz w:val="24"/>
                <w:szCs w:val="24"/>
                <w:rtl/>
              </w:rPr>
              <w:t>הצעת חוק אשראי הוגן (תיקון</w:t>
            </w:r>
            <w:r w:rsidRPr="00C53290">
              <w:rPr>
                <w:rFonts w:ascii="David" w:eastAsia="Arial Unicode MS" w:hAnsi="David" w:cs="David" w:hint="cs"/>
                <w:b/>
                <w:bCs/>
                <w:snapToGrid w:val="0"/>
                <w:spacing w:val="0"/>
                <w:sz w:val="24"/>
                <w:szCs w:val="24"/>
                <w:rtl/>
              </w:rPr>
              <w:t xml:space="preserve"> - </w:t>
            </w:r>
            <w:r w:rsidRPr="00E56367">
              <w:rPr>
                <w:rFonts w:ascii="David" w:eastAsia="Arial Unicode MS" w:hAnsi="David" w:cs="David" w:hint="cs"/>
                <w:b/>
                <w:bCs/>
                <w:snapToGrid w:val="0"/>
                <w:spacing w:val="0"/>
                <w:sz w:val="24"/>
                <w:szCs w:val="24"/>
                <w:rtl/>
              </w:rPr>
              <w:t xml:space="preserve">קביעת תנאי מימון ותנאי מתן אשראי תוך התחשבות בדוח אחריות סביבתית), </w:t>
            </w:r>
            <w:proofErr w:type="spellStart"/>
            <w:r w:rsidRPr="00E56367">
              <w:rPr>
                <w:rFonts w:ascii="David" w:eastAsia="Arial Unicode MS" w:hAnsi="David" w:cs="David" w:hint="cs"/>
                <w:b/>
                <w:bCs/>
                <w:snapToGrid w:val="0"/>
                <w:spacing w:val="0"/>
                <w:sz w:val="24"/>
                <w:szCs w:val="24"/>
                <w:rtl/>
              </w:rPr>
              <w:t>התשפ"א</w:t>
            </w:r>
            <w:proofErr w:type="spellEnd"/>
            <w:r w:rsidRPr="00E56367">
              <w:rPr>
                <w:rFonts w:ascii="David" w:eastAsia="Arial Unicode MS" w:hAnsi="David" w:cs="David" w:hint="cs"/>
                <w:b/>
                <w:bCs/>
                <w:snapToGrid w:val="0"/>
                <w:spacing w:val="0"/>
                <w:sz w:val="24"/>
                <w:szCs w:val="24"/>
                <w:rtl/>
              </w:rPr>
              <w:t xml:space="preserve"> </w:t>
            </w:r>
            <w:r w:rsidRPr="00E56367">
              <w:rPr>
                <w:rFonts w:ascii="David" w:eastAsia="Arial Unicode MS" w:hAnsi="David" w:cs="David" w:hint="cs"/>
                <w:b/>
                <w:bCs/>
                <w:snapToGrid w:val="0"/>
                <w:spacing w:val="0"/>
                <w:sz w:val="24"/>
                <w:szCs w:val="24"/>
              </w:rPr>
              <w:t xml:space="preserve"> –</w:t>
            </w:r>
            <w:r w:rsidRPr="00E56367">
              <w:rPr>
                <w:rFonts w:ascii="David" w:eastAsia="Arial Unicode MS" w:hAnsi="David" w:cs="David" w:hint="cs"/>
                <w:b/>
                <w:bCs/>
                <w:snapToGrid w:val="0"/>
                <w:spacing w:val="0"/>
                <w:sz w:val="24"/>
                <w:szCs w:val="24"/>
                <w:rtl/>
              </w:rPr>
              <w:t>2021</w:t>
            </w:r>
          </w:p>
        </w:tc>
        <w:tc>
          <w:tcPr>
            <w:tcW w:w="982" w:type="dxa"/>
          </w:tcPr>
          <w:p w14:paraId="341E9C18" w14:textId="37F48C64" w:rsidR="00C53290" w:rsidRPr="00C53290" w:rsidRDefault="00855106" w:rsidP="00BE5669">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34</w:t>
            </w:r>
          </w:p>
        </w:tc>
      </w:tr>
      <w:tr w:rsidR="00C53290" w14:paraId="1F6F7BA0" w14:textId="77777777" w:rsidTr="001E089A">
        <w:tc>
          <w:tcPr>
            <w:tcW w:w="7602" w:type="dxa"/>
          </w:tcPr>
          <w:p w14:paraId="7B2AF83A" w14:textId="33FC7E70" w:rsidR="00C53290" w:rsidRPr="0007248B" w:rsidRDefault="0031524E" w:rsidP="0007248B">
            <w:pPr>
              <w:pStyle w:val="HeadHatzaotHok"/>
              <w:jc w:val="left"/>
              <w:rPr>
                <w:rFonts w:ascii="David" w:hAnsi="David"/>
                <w:sz w:val="24"/>
                <w:szCs w:val="24"/>
                <w:rtl/>
              </w:rPr>
            </w:pPr>
            <w:r w:rsidRPr="00AF329F">
              <w:rPr>
                <w:rFonts w:ascii="David" w:hAnsi="David"/>
                <w:sz w:val="24"/>
                <w:szCs w:val="24"/>
                <w:rtl/>
              </w:rPr>
              <w:t>הצעת חוק הפיקוח על שירותים פיננסיים (קופות גמל) (תיקון - שיקולי השקעה הנוגעים</w:t>
            </w:r>
            <w:r>
              <w:rPr>
                <w:rFonts w:ascii="David" w:hAnsi="David" w:hint="cs"/>
                <w:sz w:val="24"/>
                <w:szCs w:val="24"/>
                <w:rtl/>
              </w:rPr>
              <w:t xml:space="preserve"> </w:t>
            </w:r>
            <w:r w:rsidRPr="00AF329F">
              <w:rPr>
                <w:rFonts w:ascii="David" w:hAnsi="David"/>
                <w:sz w:val="24"/>
                <w:szCs w:val="24"/>
                <w:rtl/>
              </w:rPr>
              <w:t>להיבטים סביבתיים ולסיכונים מתפתחים), התשפ"א-2021</w:t>
            </w:r>
          </w:p>
        </w:tc>
        <w:tc>
          <w:tcPr>
            <w:tcW w:w="982" w:type="dxa"/>
          </w:tcPr>
          <w:p w14:paraId="3A81C501" w14:textId="4DF12AF4" w:rsidR="00C53290" w:rsidRPr="0031524E" w:rsidRDefault="00855106" w:rsidP="0031524E">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36</w:t>
            </w:r>
          </w:p>
        </w:tc>
      </w:tr>
      <w:tr w:rsidR="0031524E" w14:paraId="443D191B" w14:textId="77777777" w:rsidTr="001E089A">
        <w:tc>
          <w:tcPr>
            <w:tcW w:w="7602" w:type="dxa"/>
          </w:tcPr>
          <w:p w14:paraId="5711F4EA" w14:textId="3A221B99" w:rsidR="0031524E" w:rsidRPr="001E089A" w:rsidRDefault="00B50483" w:rsidP="00B50483">
            <w:pPr>
              <w:spacing w:line="360" w:lineRule="auto"/>
              <w:ind w:firstLine="0"/>
              <w:rPr>
                <w:rFonts w:ascii="David" w:hAnsi="David" w:cs="David"/>
                <w:b/>
                <w:bCs/>
                <w:sz w:val="24"/>
                <w:szCs w:val="24"/>
                <w:rtl/>
              </w:rPr>
            </w:pPr>
            <w:r w:rsidRPr="001E089A">
              <w:rPr>
                <w:rFonts w:ascii="David" w:hAnsi="David" w:cs="David" w:hint="cs"/>
                <w:b/>
                <w:bCs/>
                <w:sz w:val="24"/>
                <w:szCs w:val="24"/>
                <w:rtl/>
              </w:rPr>
              <w:t>הצעת חוק החברות (תיקון- התחשבות בשיקולים לא עסקיים), התשפ״א-2021</w:t>
            </w:r>
          </w:p>
        </w:tc>
        <w:tc>
          <w:tcPr>
            <w:tcW w:w="982" w:type="dxa"/>
          </w:tcPr>
          <w:p w14:paraId="66ED9A16" w14:textId="161FCF87" w:rsidR="0031524E" w:rsidRDefault="00855106" w:rsidP="0031524E">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39</w:t>
            </w:r>
          </w:p>
        </w:tc>
      </w:tr>
      <w:tr w:rsidR="00B50483" w14:paraId="5A88B663" w14:textId="77777777" w:rsidTr="001E089A">
        <w:tc>
          <w:tcPr>
            <w:tcW w:w="7602" w:type="dxa"/>
          </w:tcPr>
          <w:p w14:paraId="3E9D6E5C" w14:textId="5955A4A4" w:rsidR="00B50483" w:rsidRPr="008A4B58" w:rsidRDefault="00B50483" w:rsidP="00B50483">
            <w:pPr>
              <w:spacing w:line="360" w:lineRule="auto"/>
              <w:ind w:firstLine="0"/>
              <w:rPr>
                <w:rFonts w:ascii="David" w:hAnsi="David" w:cs="David"/>
                <w:b/>
                <w:bCs/>
                <w:sz w:val="24"/>
                <w:szCs w:val="24"/>
                <w:rtl/>
              </w:rPr>
            </w:pPr>
            <w:r w:rsidRPr="00B50483">
              <w:rPr>
                <w:rFonts w:ascii="David" w:hAnsi="David" w:cs="David" w:hint="cs"/>
                <w:b/>
                <w:bCs/>
                <w:sz w:val="24"/>
                <w:szCs w:val="24"/>
                <w:rtl/>
              </w:rPr>
              <w:t xml:space="preserve">הצעת חוק האפוטרופוס הכללי (תיקון – שיקולי השקעה סביבתיים), </w:t>
            </w:r>
            <w:proofErr w:type="spellStart"/>
            <w:r w:rsidRPr="00B50483">
              <w:rPr>
                <w:rFonts w:ascii="David" w:hAnsi="David" w:cs="David" w:hint="cs"/>
                <w:b/>
                <w:bCs/>
                <w:sz w:val="24"/>
                <w:szCs w:val="24"/>
                <w:rtl/>
              </w:rPr>
              <w:t>התשפ"א</w:t>
            </w:r>
            <w:proofErr w:type="spellEnd"/>
            <w:r w:rsidRPr="00B50483">
              <w:rPr>
                <w:rFonts w:ascii="David" w:hAnsi="David" w:cs="David" w:hint="cs"/>
                <w:b/>
                <w:bCs/>
                <w:sz w:val="24"/>
                <w:szCs w:val="24"/>
                <w:rtl/>
              </w:rPr>
              <w:t>–2021</w:t>
            </w:r>
          </w:p>
        </w:tc>
        <w:tc>
          <w:tcPr>
            <w:tcW w:w="982" w:type="dxa"/>
          </w:tcPr>
          <w:p w14:paraId="389F839B" w14:textId="69D8ED5E" w:rsidR="00B50483" w:rsidRDefault="00855106" w:rsidP="00B50483">
            <w:pPr>
              <w:pStyle w:val="HeadHatzaotHok"/>
              <w:jc w:val="both"/>
              <w:rPr>
                <w:rFonts w:ascii="David" w:eastAsiaTheme="majorEastAsia" w:hAnsi="David"/>
                <w:snapToGrid/>
                <w:color w:val="000000" w:themeColor="text1"/>
                <w:sz w:val="24"/>
                <w:szCs w:val="24"/>
                <w:rtl/>
                <w:lang w:eastAsia="en-US"/>
              </w:rPr>
            </w:pPr>
            <w:r>
              <w:rPr>
                <w:rFonts w:ascii="David" w:eastAsiaTheme="majorEastAsia" w:hAnsi="David" w:hint="cs"/>
                <w:snapToGrid/>
                <w:color w:val="000000" w:themeColor="text1"/>
                <w:sz w:val="24"/>
                <w:szCs w:val="24"/>
                <w:rtl/>
                <w:lang w:eastAsia="en-US"/>
              </w:rPr>
              <w:t>40</w:t>
            </w:r>
          </w:p>
        </w:tc>
      </w:tr>
    </w:tbl>
    <w:p w14:paraId="7129938E" w14:textId="77777777" w:rsidR="00925F33" w:rsidRDefault="00925F33" w:rsidP="0031524E">
      <w:pPr>
        <w:pStyle w:val="HeadHatzaotHok"/>
        <w:rPr>
          <w:sz w:val="24"/>
          <w:szCs w:val="24"/>
          <w:u w:val="single"/>
          <w:rtl/>
        </w:rPr>
      </w:pPr>
    </w:p>
    <w:p w14:paraId="41971845" w14:textId="77777777" w:rsidR="00925F33" w:rsidRDefault="00925F33" w:rsidP="0031524E">
      <w:pPr>
        <w:pStyle w:val="HeadHatzaotHok"/>
        <w:rPr>
          <w:sz w:val="24"/>
          <w:szCs w:val="24"/>
          <w:u w:val="single"/>
          <w:rtl/>
        </w:rPr>
      </w:pPr>
    </w:p>
    <w:p w14:paraId="076557F0" w14:textId="2FF07539" w:rsidR="00664800" w:rsidRDefault="00664800" w:rsidP="00925F33">
      <w:pPr>
        <w:spacing w:line="360" w:lineRule="auto"/>
        <w:ind w:firstLine="0"/>
        <w:rPr>
          <w:rFonts w:ascii="David" w:hAnsi="David" w:cs="David"/>
          <w:b/>
          <w:bCs/>
          <w:sz w:val="24"/>
          <w:szCs w:val="24"/>
          <w:u w:val="single"/>
          <w:rtl/>
        </w:rPr>
      </w:pPr>
    </w:p>
    <w:p w14:paraId="36CDDA62" w14:textId="123FB0CE" w:rsidR="00855106" w:rsidRDefault="00855106" w:rsidP="00925F33">
      <w:pPr>
        <w:spacing w:line="360" w:lineRule="auto"/>
        <w:ind w:firstLine="0"/>
        <w:rPr>
          <w:rFonts w:ascii="David" w:hAnsi="David" w:cs="David"/>
          <w:b/>
          <w:bCs/>
          <w:sz w:val="24"/>
          <w:szCs w:val="24"/>
          <w:u w:val="single"/>
          <w:rtl/>
        </w:rPr>
      </w:pPr>
    </w:p>
    <w:p w14:paraId="306E8217" w14:textId="1A816920" w:rsidR="00855106" w:rsidRDefault="00855106" w:rsidP="00925F33">
      <w:pPr>
        <w:spacing w:line="360" w:lineRule="auto"/>
        <w:ind w:firstLine="0"/>
        <w:rPr>
          <w:rFonts w:ascii="David" w:hAnsi="David" w:cs="David"/>
          <w:b/>
          <w:bCs/>
          <w:sz w:val="24"/>
          <w:szCs w:val="24"/>
          <w:u w:val="single"/>
          <w:rtl/>
        </w:rPr>
      </w:pPr>
    </w:p>
    <w:p w14:paraId="71AAB003" w14:textId="3C2F568E" w:rsidR="00855106" w:rsidRDefault="00855106" w:rsidP="00925F33">
      <w:pPr>
        <w:spacing w:line="360" w:lineRule="auto"/>
        <w:ind w:firstLine="0"/>
        <w:rPr>
          <w:rFonts w:ascii="David" w:hAnsi="David" w:cs="David"/>
          <w:b/>
          <w:bCs/>
          <w:sz w:val="24"/>
          <w:szCs w:val="24"/>
          <w:u w:val="single"/>
          <w:rtl/>
        </w:rPr>
      </w:pPr>
    </w:p>
    <w:p w14:paraId="2116EB7D" w14:textId="77777777" w:rsidR="00855106" w:rsidRDefault="00855106" w:rsidP="00925F33">
      <w:pPr>
        <w:spacing w:line="360" w:lineRule="auto"/>
        <w:ind w:firstLine="0"/>
        <w:rPr>
          <w:rFonts w:ascii="David" w:hAnsi="David" w:cs="David"/>
          <w:b/>
          <w:bCs/>
          <w:sz w:val="24"/>
          <w:szCs w:val="24"/>
          <w:u w:val="single"/>
          <w:rtl/>
        </w:rPr>
      </w:pPr>
    </w:p>
    <w:p w14:paraId="3CC588FA" w14:textId="77777777" w:rsidR="00664800" w:rsidRDefault="00664800" w:rsidP="00925F33">
      <w:pPr>
        <w:spacing w:line="360" w:lineRule="auto"/>
        <w:ind w:firstLine="0"/>
        <w:rPr>
          <w:rFonts w:ascii="David" w:hAnsi="David" w:cs="David"/>
          <w:b/>
          <w:bCs/>
          <w:sz w:val="24"/>
          <w:szCs w:val="24"/>
          <w:u w:val="single"/>
          <w:rtl/>
        </w:rPr>
      </w:pPr>
    </w:p>
    <w:p w14:paraId="2E1F8B6C" w14:textId="55EB3E65" w:rsidR="00925F33" w:rsidRPr="006E273F" w:rsidRDefault="00925F33" w:rsidP="00925F33">
      <w:pPr>
        <w:spacing w:line="360" w:lineRule="auto"/>
        <w:ind w:firstLine="0"/>
        <w:rPr>
          <w:rFonts w:ascii="David" w:hAnsi="David" w:cs="David"/>
          <w:b/>
          <w:bCs/>
          <w:sz w:val="24"/>
          <w:szCs w:val="24"/>
          <w:u w:val="single"/>
          <w:rtl/>
        </w:rPr>
      </w:pPr>
      <w:r w:rsidRPr="006E273F">
        <w:rPr>
          <w:rFonts w:ascii="David" w:hAnsi="David" w:cs="David" w:hint="cs"/>
          <w:b/>
          <w:bCs/>
          <w:sz w:val="24"/>
          <w:szCs w:val="24"/>
          <w:u w:val="single"/>
          <w:rtl/>
        </w:rPr>
        <w:lastRenderedPageBreak/>
        <w:t>מבוא :</w:t>
      </w:r>
    </w:p>
    <w:p w14:paraId="0B3475F2" w14:textId="77777777" w:rsidR="00925F33" w:rsidRDefault="00925F33" w:rsidP="00925F33">
      <w:pPr>
        <w:spacing w:line="360" w:lineRule="auto"/>
        <w:rPr>
          <w:rFonts w:ascii="David" w:hAnsi="David" w:cs="David"/>
          <w:sz w:val="24"/>
          <w:szCs w:val="24"/>
          <w:rtl/>
        </w:rPr>
      </w:pPr>
      <w:r>
        <w:rPr>
          <w:rFonts w:ascii="David" w:hAnsi="David" w:cs="David" w:hint="cs"/>
          <w:sz w:val="24"/>
          <w:szCs w:val="24"/>
          <w:rtl/>
        </w:rPr>
        <w:t>שינוי האקלים הפך זה מכבר לחלק ממציאות חיינו.</w:t>
      </w:r>
      <w:r>
        <w:rPr>
          <w:rStyle w:val="FootnoteReference"/>
          <w:rFonts w:ascii="David" w:hAnsi="David" w:cs="David"/>
          <w:sz w:val="24"/>
          <w:szCs w:val="24"/>
          <w:rtl/>
        </w:rPr>
        <w:footnoteReference w:id="1"/>
      </w:r>
      <w:r>
        <w:rPr>
          <w:rFonts w:ascii="David" w:hAnsi="David" w:cs="David" w:hint="cs"/>
          <w:sz w:val="24"/>
          <w:szCs w:val="24"/>
          <w:rtl/>
        </w:rPr>
        <w:t xml:space="preserve"> גלי החום התכופים, ההצפות והתנודות הקיצוניות במזג האוויר שאנו חשים גורמים, ויגרמו ביתר שאת, לפגיעה באיכות חיינו וככל שיעבור הזמן, לתופעות של פליטי אקלים, לרעב, למגיפות ואלימות מתפרצת כתוצאה מהרעת תנאי מחייה וממאבק על משאבים שילכו ויתמעטו. מחקרים מצביעים על כך ששינוי אקלים מביא עימו פגיעה כלכלית בענפי המשק השונים במדינות מפותחות ומתפתחות, ירידה בממוצע ההכנסות הגלובלי ב-23% לערך והגדלת אי-שוויון כלכלי ביחס למצב ללא שינוי אקלים.</w:t>
      </w:r>
      <w:r>
        <w:rPr>
          <w:rStyle w:val="FootnoteReference"/>
          <w:rFonts w:ascii="David" w:hAnsi="David" w:cs="David"/>
          <w:sz w:val="24"/>
          <w:szCs w:val="24"/>
          <w:rtl/>
        </w:rPr>
        <w:footnoteReference w:id="2"/>
      </w:r>
      <w:r>
        <w:rPr>
          <w:rFonts w:ascii="David" w:hAnsi="David" w:cs="David" w:hint="cs"/>
          <w:sz w:val="24"/>
          <w:szCs w:val="24"/>
          <w:rtl/>
        </w:rPr>
        <w:t xml:space="preserve"> </w:t>
      </w:r>
    </w:p>
    <w:p w14:paraId="6BBD2F91" w14:textId="77777777" w:rsidR="00925F33" w:rsidRDefault="00925F33" w:rsidP="00925F33">
      <w:pPr>
        <w:spacing w:line="360" w:lineRule="auto"/>
        <w:rPr>
          <w:rFonts w:ascii="David" w:hAnsi="David" w:cs="David"/>
          <w:sz w:val="24"/>
          <w:szCs w:val="24"/>
          <w:rtl/>
        </w:rPr>
      </w:pPr>
      <w:r>
        <w:rPr>
          <w:rFonts w:ascii="David" w:hAnsi="David" w:cs="David" w:hint="cs"/>
          <w:sz w:val="24"/>
          <w:szCs w:val="24"/>
          <w:rtl/>
        </w:rPr>
        <w:t>בשנים האחרונות מרבית המדינות המפותחות נוקטות בצעדים להפחתת פליטות פחמן בתחומן, ובכך הן שואפות לצמצם את תרומתן השלילית לשינויי האקלים וההתחממות הגלובלית.</w:t>
      </w:r>
      <w:r>
        <w:rPr>
          <w:rFonts w:ascii="David" w:hAnsi="David" w:cs="David" w:hint="cs"/>
          <w:sz w:val="24"/>
          <w:szCs w:val="24"/>
        </w:rPr>
        <w:t xml:space="preserve"> </w:t>
      </w:r>
      <w:r>
        <w:rPr>
          <w:rFonts w:ascii="David" w:hAnsi="David" w:cs="David" w:hint="cs"/>
          <w:sz w:val="24"/>
          <w:szCs w:val="24"/>
          <w:rtl/>
        </w:rPr>
        <w:t>בוועידת האקלים של האו"ם שנערכה בדצמבר 2015 נוסח הסכם גלובלי ומחייב למאבק בשינויי אקלים, הסכם פריז, אליו הצטרפה מדינת ישראל יחד עם 196 המדינות החברות באמנת האקלים של האו"ם. ההסכם מחייב את המדינות להציג תכנית אסטרטגית להפחתת פליטות פחמן עם יעדים לשנת 2050, עד לסוף שנת 2020.</w:t>
      </w:r>
      <w:r>
        <w:rPr>
          <w:rStyle w:val="FootnoteReference"/>
          <w:rFonts w:ascii="David" w:hAnsi="David" w:cs="David"/>
          <w:sz w:val="24"/>
          <w:szCs w:val="24"/>
          <w:rtl/>
        </w:rPr>
        <w:footnoteReference w:id="3"/>
      </w:r>
      <w:r>
        <w:rPr>
          <w:rFonts w:ascii="David" w:hAnsi="David" w:cs="David" w:hint="cs"/>
          <w:sz w:val="24"/>
          <w:szCs w:val="24"/>
          <w:rtl/>
        </w:rPr>
        <w:t xml:space="preserve"> ישנה הסכמה גורפת בקרב הארגונים הבינלאומיים המובילים, בהם האו"ם, ה-</w:t>
      </w:r>
      <w:r>
        <w:rPr>
          <w:rFonts w:ascii="David" w:hAnsi="David" w:cs="David" w:hint="cs"/>
          <w:sz w:val="24"/>
          <w:szCs w:val="24"/>
        </w:rPr>
        <w:t>OECD</w:t>
      </w:r>
      <w:r>
        <w:rPr>
          <w:rFonts w:ascii="David" w:hAnsi="David" w:cs="David" w:hint="cs"/>
          <w:sz w:val="24"/>
          <w:szCs w:val="24"/>
          <w:rtl/>
        </w:rPr>
        <w:t xml:space="preserve">, האיחוד האירופי, הבנק העולמי וקרן המטבע העולמית כי מרבית הצעדים שננקטים ומתוכננים במסגרת תהליך המעבר לכלכלה דלת פחמן, מקדמים גם צמיחה כלכלית בטווח הבינוני והארוך. תובנה זו קיבלה משנה תוקף בתקופת משבר הקורונה, לנוכח ההזדמנות לנתב את תקציבי הענק שמפנות הממשלה להנעת גלגלי הצמיחה, לכיוונים של צמיחה ירוקה ודלת פחמן. </w:t>
      </w:r>
      <w:r w:rsidRPr="000834D2">
        <w:rPr>
          <w:rFonts w:ascii="David" w:hAnsi="David" w:cs="David" w:hint="cs"/>
          <w:sz w:val="24"/>
          <w:szCs w:val="24"/>
          <w:rtl/>
        </w:rPr>
        <w:t>עם זאת, וחרף ההכרה הגורפת של קהילת המדע בצורך בהפחתה מואצת בפליטות גזי חממה, הולך וגדל הפער בין המחויבויות שקיבלו על עצמן מדינות העולם כשחתמו על הסכם האקלים בפריז ובין הפליטות בפועל.</w:t>
      </w:r>
      <w:r w:rsidRPr="000834D2">
        <w:rPr>
          <w:rStyle w:val="FootnoteReference"/>
          <w:rFonts w:ascii="David" w:hAnsi="David" w:cs="David"/>
          <w:sz w:val="24"/>
          <w:szCs w:val="24"/>
          <w:rtl/>
        </w:rPr>
        <w:footnoteReference w:id="4"/>
      </w:r>
    </w:p>
    <w:p w14:paraId="48629BAB" w14:textId="09FAC3CB" w:rsidR="00CB36AE" w:rsidRDefault="00925F33" w:rsidP="00CB36AE">
      <w:pPr>
        <w:spacing w:line="360" w:lineRule="auto"/>
        <w:ind w:firstLine="0"/>
        <w:rPr>
          <w:rFonts w:ascii="David" w:hAnsi="David" w:cs="David"/>
          <w:sz w:val="24"/>
          <w:szCs w:val="24"/>
          <w:rtl/>
        </w:rPr>
      </w:pPr>
      <w:r>
        <w:rPr>
          <w:rFonts w:ascii="David" w:hAnsi="David" w:cs="David" w:hint="cs"/>
          <w:sz w:val="24"/>
          <w:szCs w:val="24"/>
          <w:rtl/>
        </w:rPr>
        <w:t xml:space="preserve">תחילה, עלינו להבין כי שינויי האקלים כבר כאן ויש להם השפעה ניכרת על ישראל ועל האזור בכלל. ניתן לזהות גם מגמות כלכליות וחברתיות שילכו ויתרחבו בעשורים הקרובים ויושפעו ממשבר האקלים. לפיכך, על מדינת ישראל להיערך בהתאם על מנת למתן השפעות שליליות על המשק והחברה, וכן גם לתרום למאמץ העולמי למעבר מואץ לכלכלה מקיימת מאופסת פחמן. </w:t>
      </w:r>
    </w:p>
    <w:p w14:paraId="7E6C881B" w14:textId="77777777" w:rsidR="00CB36AE" w:rsidRPr="00CB36AE" w:rsidRDefault="00CB36AE" w:rsidP="00CB36AE">
      <w:pPr>
        <w:spacing w:line="360" w:lineRule="auto"/>
        <w:ind w:firstLine="0"/>
        <w:rPr>
          <w:rFonts w:ascii="David" w:hAnsi="David" w:cs="David"/>
          <w:b/>
          <w:bCs/>
          <w:sz w:val="24"/>
          <w:szCs w:val="24"/>
          <w:u w:val="single"/>
          <w:rtl/>
        </w:rPr>
      </w:pPr>
      <w:r w:rsidRPr="00CB36AE">
        <w:rPr>
          <w:rFonts w:ascii="David" w:hAnsi="David" w:cs="David" w:hint="cs"/>
          <w:b/>
          <w:bCs/>
          <w:sz w:val="24"/>
          <w:szCs w:val="24"/>
          <w:u w:val="single"/>
          <w:rtl/>
        </w:rPr>
        <w:t xml:space="preserve">הסטת השקעות מתאגידים פוסיליים: </w:t>
      </w:r>
    </w:p>
    <w:p w14:paraId="0607EAFB" w14:textId="24AE7091" w:rsidR="00925F33" w:rsidRDefault="00925F33" w:rsidP="00CB36AE">
      <w:pPr>
        <w:spacing w:line="360" w:lineRule="auto"/>
        <w:ind w:firstLine="0"/>
        <w:rPr>
          <w:rFonts w:ascii="David" w:hAnsi="David" w:cs="David"/>
          <w:sz w:val="24"/>
          <w:szCs w:val="24"/>
          <w:rtl/>
        </w:rPr>
      </w:pPr>
      <w:r>
        <w:rPr>
          <w:rFonts w:ascii="David" w:hAnsi="David" w:cs="David" w:hint="cs"/>
          <w:sz w:val="24"/>
          <w:szCs w:val="24"/>
          <w:rtl/>
        </w:rPr>
        <w:t>במהלך השנים האחרונות הלכה והתרחבה המגמה במסגרתה משקיעים בינלאומיים, בדגש על משקיעים מוסדיים דוגמת קרנות פנסיה, חברות ביטוח וגופים פיננסיים מובילים, מבססים יותר ויותר את השקעותיהם, לא רק על שיקול התשואה הצפויה, אלא גם על שיקולים הנוגעים לאחריות התאגידית ולניהול סיכוני ה-</w:t>
      </w:r>
      <w:r>
        <w:rPr>
          <w:rFonts w:ascii="David" w:hAnsi="David" w:cs="David" w:hint="cs"/>
          <w:sz w:val="24"/>
          <w:szCs w:val="24"/>
        </w:rPr>
        <w:t xml:space="preserve">ESG </w:t>
      </w:r>
      <w:r>
        <w:rPr>
          <w:rFonts w:ascii="David" w:hAnsi="David" w:cs="David" w:hint="cs"/>
          <w:sz w:val="24"/>
          <w:szCs w:val="24"/>
          <w:rtl/>
        </w:rPr>
        <w:t>(</w:t>
      </w:r>
      <w:r>
        <w:rPr>
          <w:rFonts w:ascii="David" w:hAnsi="David" w:cs="David"/>
          <w:sz w:val="24"/>
          <w:szCs w:val="24"/>
        </w:rPr>
        <w:t>Environmental, Social &amp; Governance</w:t>
      </w:r>
      <w:r>
        <w:rPr>
          <w:rFonts w:ascii="David" w:hAnsi="David" w:cs="David" w:hint="cs"/>
          <w:sz w:val="24"/>
          <w:szCs w:val="24"/>
          <w:rtl/>
        </w:rPr>
        <w:t xml:space="preserve">) של החברות בהן הם משקיעים. </w:t>
      </w:r>
    </w:p>
    <w:p w14:paraId="78CE53C8" w14:textId="3D706E45" w:rsidR="00925F33" w:rsidRDefault="00925F33" w:rsidP="00925F33">
      <w:pPr>
        <w:spacing w:line="360" w:lineRule="auto"/>
        <w:ind w:firstLine="0"/>
        <w:rPr>
          <w:rFonts w:ascii="David" w:hAnsi="David" w:cs="David"/>
          <w:sz w:val="24"/>
          <w:szCs w:val="24"/>
          <w:rtl/>
        </w:rPr>
      </w:pPr>
      <w:r>
        <w:rPr>
          <w:rFonts w:ascii="David" w:hAnsi="David" w:cs="David" w:hint="cs"/>
          <w:sz w:val="24"/>
          <w:szCs w:val="24"/>
          <w:rtl/>
        </w:rPr>
        <w:t xml:space="preserve">יתרה מכך, מחקרים רבים הראו שהשקעות אחראיות לא רק שלא פוגעות בתשואות, אלא אף </w:t>
      </w:r>
      <w:r>
        <w:rPr>
          <w:rFonts w:ascii="David" w:hAnsi="David" w:cs="David" w:hint="cs"/>
          <w:sz w:val="24"/>
          <w:szCs w:val="24"/>
          <w:rtl/>
        </w:rPr>
        <w:lastRenderedPageBreak/>
        <w:t>מיטיבות עמן בטווח הארוך.</w:t>
      </w:r>
      <w:r>
        <w:rPr>
          <w:rStyle w:val="FootnoteReference"/>
          <w:rFonts w:ascii="David" w:hAnsi="David" w:cs="David"/>
          <w:sz w:val="24"/>
          <w:szCs w:val="24"/>
          <w:rtl/>
        </w:rPr>
        <w:footnoteReference w:id="5"/>
      </w:r>
      <w:r>
        <w:rPr>
          <w:rFonts w:ascii="David" w:hAnsi="David" w:cs="David" w:hint="cs"/>
          <w:sz w:val="24"/>
          <w:szCs w:val="24"/>
          <w:rtl/>
        </w:rPr>
        <w:t xml:space="preserve"> סיבה אפשרית לכך היא שחברות אשר מתנהלות בשקיפות ובאחריות סביבתית ותאגידית חשופות פחות לתביעות ולהתערבות הרגולטור, בעוד שחברות עם ממשל תאגידי רופף, ללא אחריות סביבתית והיעדר שקיפות מספקת חשופות לפגיעה בתשואות ארוכות הטווח של המניה. </w:t>
      </w:r>
    </w:p>
    <w:p w14:paraId="59F17524" w14:textId="05E94180" w:rsidR="00CB36AE" w:rsidRDefault="00925F33" w:rsidP="00FE6F3F">
      <w:pPr>
        <w:spacing w:line="360" w:lineRule="auto"/>
        <w:rPr>
          <w:rFonts w:ascii="David" w:hAnsi="David" w:cs="David"/>
          <w:sz w:val="24"/>
          <w:szCs w:val="24"/>
          <w:rtl/>
        </w:rPr>
      </w:pPr>
      <w:r>
        <w:rPr>
          <w:rFonts w:ascii="David" w:hAnsi="David" w:cs="David" w:hint="cs"/>
          <w:sz w:val="24"/>
          <w:szCs w:val="24"/>
          <w:rtl/>
        </w:rPr>
        <w:t>בתוך כך, מאז תחילת שנת 2020 חלו מספר התפתחויות משמעותיות בסביבה הכלכלית בישראל, בכל הנוגע למתן מידע מצד חברות, ציבוריות ופרטיות כאחת, בקשר עם אחריותן התאגידית וסיכוני ה-</w:t>
      </w:r>
      <w:r>
        <w:rPr>
          <w:rFonts w:ascii="David" w:hAnsi="David" w:cs="David" w:hint="cs"/>
          <w:sz w:val="24"/>
          <w:szCs w:val="24"/>
        </w:rPr>
        <w:t xml:space="preserve">ESG </w:t>
      </w:r>
      <w:r>
        <w:rPr>
          <w:rFonts w:ascii="David" w:hAnsi="David" w:cs="David" w:hint="cs"/>
          <w:sz w:val="24"/>
          <w:szCs w:val="24"/>
          <w:rtl/>
        </w:rPr>
        <w:t xml:space="preserve"> שלהן, בדגש על הכללת שיקולים הנוגעים להיבטי סביבה במסגרת מדיניות ההשקעה של המשקיעים המוסדיים בישראל</w:t>
      </w:r>
      <w:r w:rsidR="00CB36AE">
        <w:rPr>
          <w:rFonts w:ascii="David" w:hAnsi="David" w:cs="David" w:hint="cs"/>
          <w:sz w:val="24"/>
          <w:szCs w:val="24"/>
          <w:rtl/>
        </w:rPr>
        <w:t xml:space="preserve">, ואנו מקווים כי הצעות חוק אלו </w:t>
      </w:r>
      <w:r w:rsidR="00FE6F3F">
        <w:rPr>
          <w:rFonts w:ascii="David" w:hAnsi="David" w:cs="David" w:hint="cs"/>
          <w:sz w:val="24"/>
          <w:szCs w:val="24"/>
          <w:rtl/>
        </w:rPr>
        <w:t>ישפיעו ויתרמו</w:t>
      </w:r>
      <w:r w:rsidR="00CB36AE">
        <w:rPr>
          <w:rFonts w:ascii="David" w:hAnsi="David" w:cs="David" w:hint="cs"/>
          <w:sz w:val="24"/>
          <w:szCs w:val="24"/>
          <w:rtl/>
        </w:rPr>
        <w:t xml:space="preserve"> למגמה ההולכת וגוברת. </w:t>
      </w:r>
      <w:r w:rsidR="00FE6F3F">
        <w:rPr>
          <w:rFonts w:ascii="David" w:hAnsi="David" w:cs="David" w:hint="cs"/>
          <w:sz w:val="24"/>
          <w:szCs w:val="24"/>
          <w:rtl/>
        </w:rPr>
        <w:t>יתרה מכך, ובראייה רוחבית ואסטרטגית, מטרת העל הייתה שהצעות חוק אלו יפעילו לחץ, הן בצורה עקיפה והן בצורה ישירה, על קרנות הפנסיה בישראל על מנת להביא להסטת השקעות של כספי הציבור מתעשיות הדלקים הפוסיליים</w:t>
      </w:r>
      <w:r w:rsidR="00CB36AE">
        <w:rPr>
          <w:rFonts w:ascii="Arial" w:hAnsi="Arial" w:cs="Arial"/>
          <w:color w:val="202122"/>
          <w:sz w:val="21"/>
          <w:szCs w:val="21"/>
          <w:shd w:val="clear" w:color="auto" w:fill="FFFFFF"/>
        </w:rPr>
        <w:t>.</w:t>
      </w:r>
    </w:p>
    <w:p w14:paraId="580D9D1E" w14:textId="3ED9CA58" w:rsidR="001E089A" w:rsidRPr="001E089A" w:rsidRDefault="001E089A" w:rsidP="00925F33">
      <w:pPr>
        <w:spacing w:line="360" w:lineRule="auto"/>
        <w:rPr>
          <w:rFonts w:ascii="David" w:hAnsi="David" w:cs="David"/>
          <w:b/>
          <w:bCs/>
          <w:sz w:val="24"/>
          <w:szCs w:val="24"/>
          <w:u w:val="single"/>
          <w:rtl/>
        </w:rPr>
      </w:pPr>
      <w:r w:rsidRPr="001E089A">
        <w:rPr>
          <w:rFonts w:ascii="David" w:hAnsi="David" w:cs="David"/>
          <w:b/>
          <w:bCs/>
          <w:sz w:val="24"/>
          <w:szCs w:val="24"/>
          <w:u w:val="single"/>
          <w:rtl/>
        </w:rPr>
        <w:t>חובות גילוי – שילוב של מידע פיננסי בדוחות הכספיים של החברות:</w:t>
      </w:r>
    </w:p>
    <w:p w14:paraId="22FA3804" w14:textId="7BEEDD62" w:rsidR="001E089A" w:rsidRDefault="00FE6F3F" w:rsidP="00FE6F3F">
      <w:pPr>
        <w:spacing w:line="360" w:lineRule="auto"/>
        <w:ind w:firstLine="0"/>
        <w:rPr>
          <w:rFonts w:ascii="David" w:hAnsi="David" w:cs="David"/>
          <w:sz w:val="24"/>
          <w:szCs w:val="24"/>
          <w:rtl/>
        </w:rPr>
      </w:pPr>
      <w:r>
        <w:rPr>
          <w:rFonts w:ascii="David" w:hAnsi="David" w:cs="David" w:hint="cs"/>
          <w:sz w:val="24"/>
          <w:szCs w:val="24"/>
          <w:rtl/>
        </w:rPr>
        <w:t xml:space="preserve">ראשית, </w:t>
      </w:r>
      <w:r w:rsidR="001E089A" w:rsidRPr="001E089A">
        <w:rPr>
          <w:rFonts w:ascii="David" w:hAnsi="David" w:cs="David"/>
          <w:sz w:val="24"/>
          <w:szCs w:val="24"/>
          <w:rtl/>
        </w:rPr>
        <w:t xml:space="preserve">כיום קיימת מגמה עולמית התומכת בשילוב של מידע לא פיננסי בדוחות הכספיים של חברות. מגמה זו הינה צעד נוסף </w:t>
      </w:r>
      <w:r>
        <w:rPr>
          <w:rFonts w:ascii="David" w:hAnsi="David" w:cs="David" w:hint="cs"/>
          <w:sz w:val="24"/>
          <w:szCs w:val="24"/>
          <w:rtl/>
        </w:rPr>
        <w:t>ב</w:t>
      </w:r>
      <w:r w:rsidR="001E089A" w:rsidRPr="001E089A">
        <w:rPr>
          <w:rFonts w:ascii="David" w:hAnsi="David" w:cs="David"/>
          <w:sz w:val="24"/>
          <w:szCs w:val="24"/>
          <w:rtl/>
        </w:rPr>
        <w:t>דיני החברות ו</w:t>
      </w:r>
      <w:r w:rsidR="00504973">
        <w:rPr>
          <w:rFonts w:ascii="David" w:hAnsi="David" w:cs="David" w:hint="cs"/>
          <w:sz w:val="24"/>
          <w:szCs w:val="24"/>
          <w:rtl/>
        </w:rPr>
        <w:t xml:space="preserve">דיני </w:t>
      </w:r>
      <w:r w:rsidR="001E089A" w:rsidRPr="001E089A">
        <w:rPr>
          <w:rFonts w:ascii="David" w:hAnsi="David" w:cs="David"/>
          <w:sz w:val="24"/>
          <w:szCs w:val="24"/>
          <w:rtl/>
        </w:rPr>
        <w:t xml:space="preserve">ניירות הערך </w:t>
      </w:r>
      <w:r>
        <w:rPr>
          <w:rFonts w:ascii="David" w:hAnsi="David" w:cs="David" w:hint="cs"/>
          <w:sz w:val="24"/>
          <w:szCs w:val="24"/>
          <w:rtl/>
        </w:rPr>
        <w:t>אל</w:t>
      </w:r>
      <w:r w:rsidR="001E089A" w:rsidRPr="001E089A">
        <w:rPr>
          <w:rFonts w:ascii="David" w:hAnsi="David" w:cs="David"/>
          <w:sz w:val="24"/>
          <w:szCs w:val="24"/>
          <w:rtl/>
        </w:rPr>
        <w:t xml:space="preserve"> עבר השקעות ירוקות</w:t>
      </w:r>
      <w:r w:rsidR="00504973">
        <w:rPr>
          <w:rFonts w:ascii="David" w:hAnsi="David" w:cs="David" w:hint="cs"/>
          <w:sz w:val="24"/>
          <w:szCs w:val="24"/>
          <w:rtl/>
        </w:rPr>
        <w:t>,</w:t>
      </w:r>
      <w:r w:rsidR="001E089A" w:rsidRPr="001E089A">
        <w:rPr>
          <w:rFonts w:ascii="David" w:hAnsi="David" w:cs="David"/>
          <w:sz w:val="24"/>
          <w:szCs w:val="24"/>
          <w:rtl/>
        </w:rPr>
        <w:t xml:space="preserve"> שכן המידע הלא פיננסי המתואר כולל בין היתר גילוי אודות סיכונים סביבתיים בדוחות הכספיים של החברות במטרה ליצור מתאם בין ההשקעות לבין השיקולים הערכיים הסביבתיים של המשקיעים.</w:t>
      </w:r>
      <w:r w:rsidR="00504973">
        <w:rPr>
          <w:rFonts w:ascii="David" w:hAnsi="David" w:cs="David" w:hint="cs"/>
          <w:sz w:val="24"/>
          <w:szCs w:val="24"/>
          <w:rtl/>
        </w:rPr>
        <w:t xml:space="preserve"> </w:t>
      </w:r>
    </w:p>
    <w:p w14:paraId="3FA72470" w14:textId="1C648213" w:rsidR="00FE6F3F" w:rsidRDefault="001E089A" w:rsidP="00504973">
      <w:pPr>
        <w:spacing w:line="360" w:lineRule="auto"/>
        <w:ind w:firstLine="0"/>
        <w:rPr>
          <w:rFonts w:ascii="David" w:hAnsi="David" w:cs="David"/>
          <w:sz w:val="24"/>
          <w:szCs w:val="24"/>
          <w:rtl/>
        </w:rPr>
      </w:pPr>
      <w:r w:rsidRPr="001E089A">
        <w:rPr>
          <w:rFonts w:ascii="David" w:hAnsi="David" w:cs="David"/>
          <w:sz w:val="24"/>
          <w:szCs w:val="24"/>
          <w:rtl/>
        </w:rPr>
        <w:t xml:space="preserve">במדינות רבות הדבר נותר עדיין בגדר </w:t>
      </w:r>
      <w:r w:rsidR="00CB36AE" w:rsidRPr="001E089A">
        <w:rPr>
          <w:rFonts w:ascii="David" w:hAnsi="David" w:cs="David" w:hint="cs"/>
          <w:sz w:val="24"/>
          <w:szCs w:val="24"/>
          <w:rtl/>
        </w:rPr>
        <w:t>וולונטר</w:t>
      </w:r>
      <w:r w:rsidR="00CB36AE" w:rsidRPr="001E089A">
        <w:rPr>
          <w:rFonts w:ascii="David" w:hAnsi="David" w:cs="David"/>
          <w:sz w:val="24"/>
          <w:szCs w:val="24"/>
          <w:rtl/>
        </w:rPr>
        <w:t>י</w:t>
      </w:r>
      <w:r w:rsidRPr="001E089A">
        <w:rPr>
          <w:rFonts w:ascii="David" w:hAnsi="David" w:cs="David"/>
          <w:sz w:val="24"/>
          <w:szCs w:val="24"/>
          <w:rtl/>
        </w:rPr>
        <w:t xml:space="preserve">, וישנן מדינות שעברו להסדרה רגולטורית של הגילויים בדוחות הכספיים של החברות. חברות רבות בעולם התחילו לתת בדוחותיהן הכספיים גילוי אודות סיכונים סביבתיים, בין אם באופן וולונטרי ובין אם מכוח רגולציה, בנושאים שונים </w:t>
      </w:r>
      <w:r w:rsidR="00855106">
        <w:rPr>
          <w:rFonts w:ascii="David" w:hAnsi="David" w:cs="David" w:hint="cs"/>
          <w:sz w:val="24"/>
          <w:szCs w:val="24"/>
          <w:rtl/>
        </w:rPr>
        <w:t>כגון</w:t>
      </w:r>
      <w:r w:rsidRPr="001E089A">
        <w:rPr>
          <w:rFonts w:ascii="David" w:hAnsi="David" w:cs="David"/>
          <w:sz w:val="24"/>
          <w:szCs w:val="24"/>
          <w:rtl/>
        </w:rPr>
        <w:t xml:space="preserve">: פליטת גזי חממה, שימוש באנרגיה מזהמת, </w:t>
      </w:r>
      <w:r w:rsidR="00CB36AE" w:rsidRPr="001E089A">
        <w:rPr>
          <w:rFonts w:ascii="David" w:hAnsi="David" w:cs="David" w:hint="cs"/>
          <w:sz w:val="24"/>
          <w:szCs w:val="24"/>
          <w:rtl/>
        </w:rPr>
        <w:t>מחזור</w:t>
      </w:r>
      <w:r w:rsidRPr="001E089A">
        <w:rPr>
          <w:rFonts w:ascii="David" w:hAnsi="David" w:cs="David"/>
          <w:sz w:val="24"/>
          <w:szCs w:val="24"/>
          <w:rtl/>
        </w:rPr>
        <w:t xml:space="preserve">, ניהול צריכת מים </w:t>
      </w:r>
      <w:r w:rsidR="00CB36AE">
        <w:rPr>
          <w:rFonts w:ascii="David" w:hAnsi="David" w:cs="David" w:hint="cs"/>
          <w:sz w:val="24"/>
          <w:szCs w:val="24"/>
          <w:rtl/>
        </w:rPr>
        <w:t>וכדומה</w:t>
      </w:r>
      <w:r w:rsidRPr="001E089A">
        <w:rPr>
          <w:rFonts w:ascii="David" w:hAnsi="David" w:cs="David"/>
          <w:sz w:val="24"/>
          <w:szCs w:val="24"/>
          <w:rtl/>
        </w:rPr>
        <w:t>. הגילוי של החברות נע על קשת רחבה החל מתיאור איכותי לאופן שבו הן מנהלות סיכונים אלה</w:t>
      </w:r>
      <w:r w:rsidR="00855106">
        <w:rPr>
          <w:rFonts w:ascii="David" w:hAnsi="David" w:cs="David" w:hint="cs"/>
          <w:sz w:val="24"/>
          <w:szCs w:val="24"/>
          <w:rtl/>
        </w:rPr>
        <w:t>,</w:t>
      </w:r>
      <w:r w:rsidRPr="001E089A">
        <w:rPr>
          <w:rFonts w:ascii="David" w:hAnsi="David" w:cs="David"/>
          <w:sz w:val="24"/>
          <w:szCs w:val="24"/>
          <w:rtl/>
        </w:rPr>
        <w:t xml:space="preserve"> ועד לתיאור כמותי הכולל נתונים שמטרתם לערוך בחינה השוואתית ביחס לדוחות הכספיים של תקופות קודמות. אולם, בד״כ חברות </w:t>
      </w:r>
      <w:r w:rsidR="00855106">
        <w:rPr>
          <w:rFonts w:ascii="David" w:hAnsi="David" w:cs="David" w:hint="cs"/>
          <w:sz w:val="24"/>
          <w:szCs w:val="24"/>
          <w:rtl/>
        </w:rPr>
        <w:t>נוהגות</w:t>
      </w:r>
      <w:r w:rsidRPr="001E089A">
        <w:rPr>
          <w:rFonts w:ascii="David" w:hAnsi="David" w:cs="David"/>
          <w:sz w:val="24"/>
          <w:szCs w:val="24"/>
          <w:rtl/>
        </w:rPr>
        <w:t xml:space="preserve"> להציג נתונים אלו בפן ״החיובי״ ולא ״השלילי״, קרי מה הן הפעולות ״הטובות״ </w:t>
      </w:r>
      <w:r w:rsidR="00855106">
        <w:rPr>
          <w:rFonts w:ascii="David" w:hAnsi="David" w:cs="David" w:hint="cs"/>
          <w:sz w:val="24"/>
          <w:szCs w:val="24"/>
          <w:rtl/>
        </w:rPr>
        <w:t>שהן מבצעות</w:t>
      </w:r>
      <w:r w:rsidRPr="001E089A">
        <w:rPr>
          <w:rFonts w:ascii="David" w:hAnsi="David" w:cs="David"/>
          <w:sz w:val="24"/>
          <w:szCs w:val="24"/>
          <w:rtl/>
        </w:rPr>
        <w:t xml:space="preserve"> מבצעות ע״מ להקטין את הסיכון</w:t>
      </w:r>
      <w:r w:rsidR="00855106">
        <w:rPr>
          <w:rFonts w:ascii="David" w:hAnsi="David" w:cs="David" w:hint="cs"/>
          <w:sz w:val="24"/>
          <w:szCs w:val="24"/>
          <w:rtl/>
        </w:rPr>
        <w:t xml:space="preserve"> המחריף</w:t>
      </w:r>
      <w:r w:rsidRPr="001E089A">
        <w:rPr>
          <w:rFonts w:ascii="David" w:hAnsi="David" w:cs="David"/>
          <w:sz w:val="24"/>
          <w:szCs w:val="24"/>
          <w:rtl/>
        </w:rPr>
        <w:t xml:space="preserve"> של משבר האקלים הקיים כיום</w:t>
      </w:r>
      <w:r w:rsidR="00855106">
        <w:rPr>
          <w:rFonts w:ascii="David" w:hAnsi="David" w:cs="David" w:hint="cs"/>
          <w:sz w:val="24"/>
          <w:szCs w:val="24"/>
          <w:rtl/>
        </w:rPr>
        <w:t>,</w:t>
      </w:r>
      <w:r w:rsidRPr="001E089A">
        <w:rPr>
          <w:rFonts w:ascii="David" w:hAnsi="David" w:cs="David"/>
          <w:sz w:val="24"/>
          <w:szCs w:val="24"/>
          <w:rtl/>
        </w:rPr>
        <w:t xml:space="preserve"> בעוד שאין הצגה לכל הפעילויות שחברות מבצעות המחריפות את משבר האקלים. כחלק מעבודתנו, פעלנו ע"מ להסדיר בחקיקה את הגילוי המקיף של החברות אודות סיכונים סביבתיים ועלויות סביבתיות שונות. מטרתו של הגילוי המקיף הינו לספק למשקיעיהן השונים של </w:t>
      </w:r>
      <w:r w:rsidRPr="001E089A">
        <w:rPr>
          <w:rFonts w:ascii="David" w:hAnsi="David" w:cs="David"/>
          <w:sz w:val="24"/>
          <w:szCs w:val="24"/>
          <w:rtl/>
        </w:rPr>
        <w:lastRenderedPageBreak/>
        <w:t>החברות מידע מספק ומקיף ותמונה יותר מקיפה על הטבע והאופי של הפעילויות של החברות בהן הם משקיעים או עתידים להשקיע, ואת הקשר של אותה הפעילות למשבר האקלים על היבטיו השונים.</w:t>
      </w:r>
      <w:r w:rsidR="00504973">
        <w:rPr>
          <w:rFonts w:ascii="David" w:hAnsi="David" w:cs="David" w:hint="cs"/>
          <w:sz w:val="24"/>
          <w:szCs w:val="24"/>
          <w:rtl/>
        </w:rPr>
        <w:t xml:space="preserve"> כלומר, ובראייה מאקרו רוחבית, אנו סבורים כי ההיבטים הרלוונטיי</w:t>
      </w:r>
      <w:r w:rsidR="00504973">
        <w:rPr>
          <w:rFonts w:ascii="David" w:hAnsi="David" w:cs="David"/>
          <w:sz w:val="24"/>
          <w:szCs w:val="24"/>
          <w:rtl/>
        </w:rPr>
        <w:t>ם</w:t>
      </w:r>
      <w:r w:rsidR="00504973">
        <w:rPr>
          <w:rFonts w:ascii="David" w:hAnsi="David" w:cs="David" w:hint="cs"/>
          <w:sz w:val="24"/>
          <w:szCs w:val="24"/>
          <w:rtl/>
        </w:rPr>
        <w:t xml:space="preserve"> לאסדרה סביבתית בתחום ההשקעות, הוא הגילוי שניתן על כך, וזאת בשני מישורים: גילוי של התאגידים על אופן התחשבות בשיקולי סביבה; וגילוי של המשקיעים, בעיקר מוסדיים וגופים פיננסיים אחרים, בדבר אופן שקלול היבטי סביבה במדיניות ההשקעה שלהם.</w:t>
      </w:r>
    </w:p>
    <w:p w14:paraId="77699267" w14:textId="77777777" w:rsidR="00FE6F3F" w:rsidRPr="001B6546" w:rsidRDefault="00FE6F3F" w:rsidP="00FE6F3F">
      <w:pPr>
        <w:pStyle w:val="HeadHatzaotHok"/>
        <w:jc w:val="both"/>
        <w:rPr>
          <w:rFonts w:ascii="David" w:hAnsi="David"/>
          <w:sz w:val="24"/>
          <w:szCs w:val="24"/>
          <w:u w:val="single"/>
          <w:rtl/>
        </w:rPr>
      </w:pPr>
      <w:r w:rsidRPr="001B6546">
        <w:rPr>
          <w:rFonts w:ascii="David" w:hAnsi="David" w:hint="cs"/>
          <w:sz w:val="24"/>
          <w:szCs w:val="24"/>
          <w:u w:val="single"/>
          <w:rtl/>
        </w:rPr>
        <w:t xml:space="preserve">הטלת מס פחמן: </w:t>
      </w:r>
    </w:p>
    <w:p w14:paraId="09CC9C81" w14:textId="76608FBC" w:rsidR="00D6232C" w:rsidRDefault="00504973" w:rsidP="00504973">
      <w:pPr>
        <w:spacing w:line="360" w:lineRule="auto"/>
        <w:ind w:firstLine="0"/>
        <w:rPr>
          <w:rFonts w:ascii="David" w:hAnsi="David" w:cs="David"/>
          <w:color w:val="auto"/>
          <w:sz w:val="24"/>
          <w:szCs w:val="24"/>
          <w:rtl/>
        </w:rPr>
      </w:pPr>
      <w:r w:rsidRPr="00504973">
        <w:rPr>
          <w:rFonts w:ascii="David" w:hAnsi="David" w:cs="David" w:hint="cs"/>
          <w:sz w:val="24"/>
          <w:szCs w:val="24"/>
          <w:rtl/>
        </w:rPr>
        <w:t xml:space="preserve">כפי האמור לעיל, </w:t>
      </w:r>
      <w:r w:rsidRPr="00504973">
        <w:rPr>
          <w:rFonts w:ascii="David" w:hAnsi="David" w:cs="David"/>
          <w:sz w:val="24"/>
          <w:szCs w:val="24"/>
          <w:rtl/>
        </w:rPr>
        <w:t>בעשור האחרון התחזקה ההכרה המדעית בדבר קיומה של התחממות גלובלית שאינה תופעה מחזורית, בדומה לאלה שנצפו בעידנים קודמים, אלא תופעה ההולכת וגוברת, שהשלכותיה על חלק ניכר מאוכלוסיית העולם עלולות להיות קיומיות</w:t>
      </w:r>
      <w:r w:rsidRPr="00504973">
        <w:rPr>
          <w:rStyle w:val="FootnoteReference"/>
          <w:rFonts w:ascii="David" w:hAnsi="David" w:cs="David"/>
          <w:sz w:val="24"/>
          <w:szCs w:val="24"/>
          <w:rtl/>
        </w:rPr>
        <w:footnoteReference w:id="6"/>
      </w:r>
      <w:r w:rsidRPr="00504973">
        <w:rPr>
          <w:rFonts w:ascii="David" w:hAnsi="David" w:cs="David"/>
          <w:sz w:val="24"/>
          <w:szCs w:val="24"/>
          <w:rtl/>
        </w:rPr>
        <w:t xml:space="preserve">. </w:t>
      </w:r>
      <w:r w:rsidRPr="00504973">
        <w:rPr>
          <w:rFonts w:ascii="David" w:hAnsi="David" w:cs="David"/>
          <w:color w:val="auto"/>
          <w:sz w:val="24"/>
          <w:szCs w:val="24"/>
          <w:rtl/>
        </w:rPr>
        <w:t>הפעילות האנושית אחראית לחלק מהתחממות זו, שעיקרה נובע מעלייה חדה בריכוזי גזי החממה – ובראשם פחמן דו-חמצני – באטמוספרה</w:t>
      </w:r>
      <w:r w:rsidRPr="00504973">
        <w:rPr>
          <w:rStyle w:val="FootnoteReference"/>
          <w:rFonts w:ascii="David" w:hAnsi="David" w:cs="David"/>
          <w:color w:val="auto"/>
          <w:sz w:val="24"/>
          <w:szCs w:val="24"/>
          <w:rtl/>
        </w:rPr>
        <w:footnoteReference w:id="7"/>
      </w:r>
      <w:r w:rsidRPr="00504973">
        <w:rPr>
          <w:rFonts w:ascii="David" w:hAnsi="David" w:cs="David"/>
          <w:color w:val="auto"/>
          <w:sz w:val="24"/>
          <w:szCs w:val="24"/>
          <w:rtl/>
        </w:rPr>
        <w:t>. לפי התחזיות המקובלות, המשך המגמות הנוכחיות בפעילות האנושית משמעו שריכוז הפחמן הדו-חמצני באטמוספרה ימשיך לעלות, וכך ההתחממות הגלובלית תתעצם ותביא לעלייה של כ-1.5 מעלות צלסיוס באמצע המאה ה-21 ולעלייה של כ-3 מעלות עד סוף המאה. בד בבד עם העלייה בטמפרטורות ילך ויגדל היקף הנזק שייגרם בעטיה לפעילות ולרווחה האנושיים</w:t>
      </w:r>
      <w:r>
        <w:rPr>
          <w:rFonts w:ascii="David" w:hAnsi="David" w:cs="David" w:hint="cs"/>
          <w:color w:val="auto"/>
          <w:sz w:val="24"/>
          <w:szCs w:val="24"/>
          <w:rtl/>
        </w:rPr>
        <w:t xml:space="preserve">. </w:t>
      </w:r>
    </w:p>
    <w:p w14:paraId="59FEB9AD" w14:textId="4A6307FF" w:rsidR="00504973" w:rsidRDefault="00504973" w:rsidP="00504973">
      <w:pPr>
        <w:spacing w:line="360" w:lineRule="auto"/>
        <w:ind w:firstLine="0"/>
        <w:rPr>
          <w:rFonts w:ascii="David" w:hAnsi="David" w:cs="David"/>
          <w:color w:val="auto"/>
          <w:sz w:val="24"/>
          <w:szCs w:val="24"/>
          <w:rtl/>
        </w:rPr>
      </w:pPr>
      <w:r w:rsidRPr="00504973">
        <w:rPr>
          <w:rFonts w:ascii="David" w:hAnsi="David" w:cs="David" w:hint="cs"/>
          <w:color w:val="auto"/>
          <w:sz w:val="24"/>
          <w:szCs w:val="24"/>
          <w:rtl/>
        </w:rPr>
        <w:t xml:space="preserve">אם כן - </w:t>
      </w:r>
      <w:r w:rsidRPr="00504973">
        <w:rPr>
          <w:rFonts w:ascii="David" w:hAnsi="David" w:cs="David"/>
          <w:color w:val="auto"/>
          <w:sz w:val="24"/>
          <w:szCs w:val="24"/>
          <w:rtl/>
        </w:rPr>
        <w:t>מכשיר מרכזי במסגרת זו הינם כלֵי מדיניות להפנמת העלות הסביבתית של השימוש בפחמן דו-חמצני. אלה נועדו להביא להפחתה שהוחלט עליה באופן יעיל מבחינה כלכלית. שתי הדרכים המרכזיות להפחתה יעילה של הפליטה עוברות דרך מיסוי הפליטה של פחמן דו-חמצני ודרך</w:t>
      </w:r>
      <w:r w:rsidRPr="00504973">
        <w:rPr>
          <w:rFonts w:ascii="David" w:hAnsi="David" w:cs="David"/>
          <w:color w:val="auto"/>
          <w:sz w:val="24"/>
          <w:szCs w:val="24"/>
        </w:rPr>
        <w:t xml:space="preserve"> </w:t>
      </w:r>
      <w:r w:rsidRPr="00504973">
        <w:rPr>
          <w:rFonts w:ascii="David" w:hAnsi="David" w:cs="David"/>
          <w:color w:val="auto"/>
          <w:sz w:val="24"/>
          <w:szCs w:val="24"/>
          <w:rtl/>
        </w:rPr>
        <w:t xml:space="preserve">תוכניות של </w:t>
      </w:r>
      <w:r w:rsidRPr="00504973">
        <w:rPr>
          <w:rFonts w:ascii="David" w:hAnsi="David" w:cs="David"/>
          <w:color w:val="auto"/>
          <w:sz w:val="24"/>
          <w:szCs w:val="24"/>
        </w:rPr>
        <w:t>,cap and trade</w:t>
      </w:r>
      <w:r w:rsidRPr="00504973">
        <w:rPr>
          <w:rFonts w:ascii="David" w:hAnsi="David" w:cs="David"/>
          <w:color w:val="auto"/>
          <w:sz w:val="24"/>
          <w:szCs w:val="24"/>
          <w:rtl/>
        </w:rPr>
        <w:t xml:space="preserve"> כלומר הוצאת/מכירת אישורי פליטה בכמות מוגבלת, עם היתר לסחור בהם. באמצעות תוכניות אלה ניתן לשלוט בכמות הפליטה וליצור שוק להיתרים. ישנן עדויות אמפיריות להצלחתן של שתי השיטות בהפחתת היקפי הפליטה של פחמן דו-חמצני</w:t>
      </w:r>
      <w:r w:rsidRPr="00504973">
        <w:rPr>
          <w:rStyle w:val="FootnoteReference"/>
          <w:rFonts w:ascii="David" w:hAnsi="David" w:cs="David"/>
          <w:color w:val="auto"/>
          <w:sz w:val="24"/>
          <w:szCs w:val="24"/>
          <w:rtl/>
        </w:rPr>
        <w:footnoteReference w:id="8"/>
      </w:r>
      <w:r w:rsidRPr="00504973">
        <w:rPr>
          <w:rFonts w:ascii="David" w:hAnsi="David" w:cs="David"/>
          <w:color w:val="auto"/>
          <w:sz w:val="24"/>
          <w:szCs w:val="24"/>
          <w:rtl/>
        </w:rPr>
        <w:t>, אולם ניתוח עדכני מעלה כי פעולה באמצעות מס פחמן עדיפה</w:t>
      </w:r>
      <w:r w:rsidRPr="00504973">
        <w:rPr>
          <w:rStyle w:val="FootnoteReference"/>
          <w:rFonts w:ascii="David" w:hAnsi="David" w:cs="David"/>
          <w:color w:val="auto"/>
          <w:sz w:val="24"/>
          <w:szCs w:val="24"/>
          <w:rtl/>
        </w:rPr>
        <w:footnoteReference w:id="9"/>
      </w:r>
      <w:r w:rsidRPr="00504973">
        <w:rPr>
          <w:rFonts w:ascii="David" w:hAnsi="David" w:cs="David" w:hint="cs"/>
          <w:color w:val="auto"/>
          <w:sz w:val="24"/>
          <w:szCs w:val="24"/>
          <w:rtl/>
        </w:rPr>
        <w:t>.</w:t>
      </w:r>
      <w:r>
        <w:rPr>
          <w:rFonts w:ascii="David" w:hAnsi="David" w:cs="David" w:hint="cs"/>
          <w:color w:val="auto"/>
          <w:sz w:val="24"/>
          <w:szCs w:val="24"/>
          <w:rtl/>
        </w:rPr>
        <w:t xml:space="preserve"> </w:t>
      </w:r>
      <w:r w:rsidRPr="00504973">
        <w:rPr>
          <w:rFonts w:ascii="David" w:hAnsi="David" w:cs="David" w:hint="cs"/>
          <w:color w:val="auto"/>
          <w:sz w:val="24"/>
          <w:szCs w:val="24"/>
          <w:u w:val="single"/>
          <w:rtl/>
        </w:rPr>
        <w:t>מעבר לכך, למיסוי פחמן יש כמה יתרונות בולטים על פני פתרונות אחרים:</w:t>
      </w:r>
    </w:p>
    <w:p w14:paraId="1D2CB0FE" w14:textId="0F87AB6F" w:rsidR="00504973" w:rsidRDefault="00504973" w:rsidP="00504973">
      <w:pPr>
        <w:pStyle w:val="ListParagraph"/>
        <w:numPr>
          <w:ilvl w:val="0"/>
          <w:numId w:val="9"/>
        </w:numPr>
        <w:spacing w:line="360" w:lineRule="auto"/>
        <w:rPr>
          <w:rFonts w:ascii="David" w:hAnsi="David" w:cs="David"/>
        </w:rPr>
      </w:pPr>
      <w:r w:rsidRPr="00504973">
        <w:rPr>
          <w:rFonts w:ascii="David" w:hAnsi="David" w:cs="David"/>
          <w:rtl/>
        </w:rPr>
        <w:t xml:space="preserve">היתרון של מס פחמן נובע בראש וראשונה מההתמקדות בלב הבעיה. אמצעי מדיניות זה מטפל ישירות בכשל השוק המרכזי הנובע מהעדר זכויות קניין על אוויר, שבגללו לא ניתן לתמחר את הזיהום ללא התערבות ממשלתית, ולכן מנגנון המחירים מייצר שיווי משקל </w:t>
      </w:r>
      <w:r w:rsidRPr="00504973">
        <w:rPr>
          <w:rFonts w:ascii="David" w:hAnsi="David" w:cs="David"/>
          <w:rtl/>
        </w:rPr>
        <w:lastRenderedPageBreak/>
        <w:t>מעוות. מס הפחמן מייעל את הקצאת המשאבים במשק בהיותו מוטל על המוצר המזהם, וגורם ליצרנים ולצרכנים להפנים במחירו את השפעותיו החיצוניות. בכך הוא תורם לת</w:t>
      </w:r>
      <w:r w:rsidRPr="00504973">
        <w:rPr>
          <w:rFonts w:ascii="David" w:hAnsi="David" w:cs="David" w:hint="cs"/>
          <w:rtl/>
        </w:rPr>
        <w:t>י</w:t>
      </w:r>
      <w:r w:rsidRPr="00504973">
        <w:rPr>
          <w:rFonts w:ascii="David" w:hAnsi="David" w:cs="David"/>
          <w:rtl/>
        </w:rPr>
        <w:t>עדוף נכון של השימוש באנרגיה.</w:t>
      </w:r>
    </w:p>
    <w:p w14:paraId="62C883EF" w14:textId="36227F9F" w:rsidR="00504973" w:rsidRDefault="00504973" w:rsidP="00504973">
      <w:pPr>
        <w:pStyle w:val="ListParagraph"/>
        <w:numPr>
          <w:ilvl w:val="0"/>
          <w:numId w:val="9"/>
        </w:numPr>
        <w:spacing w:line="360" w:lineRule="auto"/>
        <w:rPr>
          <w:rFonts w:ascii="David" w:hAnsi="David" w:cs="David"/>
        </w:rPr>
      </w:pPr>
      <w:r w:rsidRPr="00504973">
        <w:rPr>
          <w:rFonts w:ascii="David" w:hAnsi="David" w:cs="David"/>
          <w:rtl/>
        </w:rPr>
        <w:t>יתרון נוסף של מס פחמן הוא שהערכת השפעתו מבוססת על פרמטר שניתן להעריכו – גמישות הביקוש למחיר, ובפרט בייצור חשמל ובשימוש בכלי רכב, שני מקורות הזיהום העיקריים. גמישויות אלו נאמדו בעולם בטווח שבין 0.2 ל 0.6</w:t>
      </w:r>
      <w:r w:rsidRPr="00504973">
        <w:rPr>
          <w:rStyle w:val="FootnoteReference"/>
          <w:rFonts w:ascii="David" w:hAnsi="David" w:cs="David"/>
          <w:rtl/>
        </w:rPr>
        <w:footnoteReference w:id="10"/>
      </w:r>
      <w:r w:rsidRPr="00504973">
        <w:rPr>
          <w:rFonts w:ascii="David" w:hAnsi="David" w:cs="David"/>
          <w:rtl/>
        </w:rPr>
        <w:t>; זאת אומרת שעלייה של אחוז אחד במחיר החשמל צפויה להקטין את הביקוש לו בשיעור שבין 0.2% ל-0.6%.</w:t>
      </w:r>
    </w:p>
    <w:p w14:paraId="5974D9A9" w14:textId="459A4657" w:rsidR="00D6232C" w:rsidRPr="00504973" w:rsidRDefault="00504973" w:rsidP="00504973">
      <w:pPr>
        <w:pStyle w:val="ListParagraph"/>
        <w:numPr>
          <w:ilvl w:val="0"/>
          <w:numId w:val="9"/>
        </w:numPr>
        <w:spacing w:line="360" w:lineRule="auto"/>
        <w:rPr>
          <w:rFonts w:ascii="David" w:hAnsi="David" w:cs="David"/>
          <w:rtl/>
        </w:rPr>
      </w:pPr>
      <w:r w:rsidRPr="00504973">
        <w:rPr>
          <w:rFonts w:ascii="David" w:hAnsi="David" w:cs="David"/>
          <w:rtl/>
        </w:rPr>
        <w:t>יתרון של מס הפחמן ביחס לאמצעים אחרים לצמצום הפליטה הוא היכולת לנטר במידה רבה את קבוצות האוכלוסייה שעליהן הוא מוטל, את השפעתו עליהן וכן את השפעתו על שאר ענפי הכלכלה. יתרון זה חשוב במיוחד כי הוא מסייע לטפל בשתי סוגיות שעלולות להקשות על מקבלי ההחלטות לתמוך במס על פחמן: הרגרסיביות שלו</w:t>
      </w:r>
      <w:r w:rsidRPr="00504973">
        <w:rPr>
          <w:rStyle w:val="FootnoteReference"/>
          <w:rFonts w:ascii="David" w:hAnsi="David" w:cs="David"/>
          <w:rtl/>
        </w:rPr>
        <w:footnoteReference w:id="11"/>
      </w:r>
      <w:r w:rsidRPr="00504973">
        <w:rPr>
          <w:rFonts w:ascii="David" w:hAnsi="David" w:cs="David"/>
          <w:rtl/>
        </w:rPr>
        <w:t>, והשפעתו הדיפרנציאלית על ענפי ייצור שונים – שעשויה להקל על הענפים הנפגעים להתאגד לתגובה פוליטית כנגד המס.</w:t>
      </w:r>
    </w:p>
    <w:p w14:paraId="68B24ADF" w14:textId="77777777" w:rsidR="00504973" w:rsidRDefault="00FE6F3F" w:rsidP="00504973">
      <w:pPr>
        <w:pStyle w:val="HeadHatzaotHok"/>
        <w:jc w:val="both"/>
        <w:rPr>
          <w:rFonts w:ascii="David" w:hAnsi="David"/>
          <w:sz w:val="24"/>
          <w:szCs w:val="24"/>
          <w:u w:val="single"/>
          <w:rtl/>
        </w:rPr>
      </w:pPr>
      <w:r w:rsidRPr="00D55074">
        <w:rPr>
          <w:rFonts w:ascii="David" w:hAnsi="David" w:hint="cs"/>
          <w:sz w:val="24"/>
          <w:szCs w:val="24"/>
          <w:u w:val="single"/>
          <w:rtl/>
        </w:rPr>
        <w:lastRenderedPageBreak/>
        <w:t>תומכים</w:t>
      </w:r>
      <w:r w:rsidRPr="00D55074">
        <w:rPr>
          <w:rFonts w:ascii="David" w:hAnsi="David" w:hint="cs"/>
          <w:sz w:val="24"/>
          <w:szCs w:val="24"/>
          <w:u w:val="single"/>
        </w:rPr>
        <w:t xml:space="preserve"> </w:t>
      </w:r>
      <w:r w:rsidRPr="00D55074">
        <w:rPr>
          <w:rFonts w:ascii="David" w:hAnsi="David" w:hint="cs"/>
          <w:sz w:val="24"/>
          <w:szCs w:val="24"/>
          <w:u w:val="single"/>
          <w:rtl/>
        </w:rPr>
        <w:t xml:space="preserve"> ומתנגדים:</w:t>
      </w:r>
    </w:p>
    <w:p w14:paraId="3F0442EE" w14:textId="77777777" w:rsidR="0027283F" w:rsidRDefault="00FE6F3F" w:rsidP="00504973">
      <w:pPr>
        <w:pStyle w:val="HeadHatzaotHok"/>
        <w:jc w:val="both"/>
        <w:rPr>
          <w:rFonts w:ascii="David" w:hAnsi="David"/>
          <w:b w:val="0"/>
          <w:bCs w:val="0"/>
          <w:sz w:val="24"/>
          <w:szCs w:val="24"/>
          <w:rtl/>
        </w:rPr>
      </w:pPr>
      <w:r>
        <w:rPr>
          <w:rFonts w:ascii="David" w:hAnsi="David" w:hint="cs"/>
          <w:b w:val="0"/>
          <w:bCs w:val="0"/>
          <w:sz w:val="24"/>
          <w:szCs w:val="24"/>
          <w:rtl/>
        </w:rPr>
        <w:t xml:space="preserve">לדידנו, הצעות החוק שאנו מעוניינים לקדם, בתחומי </w:t>
      </w:r>
      <w:r w:rsidR="00504973">
        <w:rPr>
          <w:rFonts w:ascii="David" w:hAnsi="David" w:hint="cs"/>
          <w:b w:val="0"/>
          <w:bCs w:val="0"/>
          <w:sz w:val="24"/>
          <w:szCs w:val="24"/>
          <w:rtl/>
        </w:rPr>
        <w:t>ה</w:t>
      </w:r>
      <w:r>
        <w:rPr>
          <w:rFonts w:ascii="David" w:hAnsi="David" w:hint="cs"/>
          <w:b w:val="0"/>
          <w:bCs w:val="0"/>
          <w:sz w:val="24"/>
          <w:szCs w:val="24"/>
          <w:rtl/>
        </w:rPr>
        <w:t xml:space="preserve">מיסוי ומנגנונים </w:t>
      </w:r>
      <w:r w:rsidR="00504973">
        <w:rPr>
          <w:rFonts w:ascii="David" w:hAnsi="David" w:hint="cs"/>
          <w:b w:val="0"/>
          <w:bCs w:val="0"/>
          <w:sz w:val="24"/>
          <w:szCs w:val="24"/>
          <w:rtl/>
        </w:rPr>
        <w:t>ה</w:t>
      </w:r>
      <w:r>
        <w:rPr>
          <w:rFonts w:ascii="David" w:hAnsi="David" w:hint="cs"/>
          <w:b w:val="0"/>
          <w:bCs w:val="0"/>
          <w:sz w:val="24"/>
          <w:szCs w:val="24"/>
          <w:rtl/>
        </w:rPr>
        <w:t>כלכליים, יזכו לתמיכה רחבה</w:t>
      </w:r>
      <w:r w:rsidR="00142021">
        <w:rPr>
          <w:rFonts w:ascii="David" w:hAnsi="David" w:hint="cs"/>
          <w:b w:val="0"/>
          <w:bCs w:val="0"/>
          <w:sz w:val="24"/>
          <w:szCs w:val="24"/>
          <w:rtl/>
        </w:rPr>
        <w:t>. תחילה, אנו צופים תמיכה ע"י</w:t>
      </w:r>
      <w:r>
        <w:rPr>
          <w:rFonts w:ascii="David" w:hAnsi="David" w:hint="cs"/>
          <w:b w:val="0"/>
          <w:bCs w:val="0"/>
          <w:sz w:val="24"/>
          <w:szCs w:val="24"/>
          <w:rtl/>
        </w:rPr>
        <w:t xml:space="preserve"> קואליציה של ארגוני סביבה רבים הפועלים לבלימת משבר האקלים.</w:t>
      </w:r>
      <w:r w:rsidR="00504973">
        <w:rPr>
          <w:rFonts w:ascii="David" w:hAnsi="David" w:hint="cs"/>
          <w:b w:val="0"/>
          <w:bCs w:val="0"/>
          <w:sz w:val="24"/>
          <w:szCs w:val="24"/>
          <w:rtl/>
        </w:rPr>
        <w:t xml:space="preserve"> עדות בולטת לכך קיבלנו במהלך היוועצות שלנו עם הגופים הרלוונטיי</w:t>
      </w:r>
      <w:r w:rsidR="00504973">
        <w:rPr>
          <w:rFonts w:ascii="David" w:hAnsi="David" w:hint="eastAsia"/>
          <w:b w:val="0"/>
          <w:bCs w:val="0"/>
          <w:sz w:val="24"/>
          <w:szCs w:val="24"/>
          <w:rtl/>
        </w:rPr>
        <w:t>ם</w:t>
      </w:r>
      <w:r w:rsidR="00504973">
        <w:rPr>
          <w:rFonts w:ascii="David" w:hAnsi="David" w:hint="cs"/>
          <w:b w:val="0"/>
          <w:bCs w:val="0"/>
          <w:sz w:val="24"/>
          <w:szCs w:val="24"/>
          <w:rtl/>
        </w:rPr>
        <w:t xml:space="preserve"> בתחום, דוגמת: פורום כסף נקי</w:t>
      </w:r>
      <w:r w:rsidR="00142021">
        <w:rPr>
          <w:rFonts w:ascii="David" w:hAnsi="David"/>
          <w:b w:val="0"/>
          <w:bCs w:val="0"/>
          <w:sz w:val="24"/>
          <w:szCs w:val="24"/>
        </w:rPr>
        <w:t xml:space="preserve"> </w:t>
      </w:r>
      <w:r w:rsidR="00142021">
        <w:rPr>
          <w:rFonts w:ascii="David" w:hAnsi="David" w:hint="cs"/>
          <w:b w:val="0"/>
          <w:bCs w:val="0"/>
          <w:sz w:val="24"/>
          <w:szCs w:val="24"/>
          <w:rtl/>
        </w:rPr>
        <w:t>וביניהם</w:t>
      </w:r>
      <w:r w:rsidR="00504973">
        <w:rPr>
          <w:rFonts w:ascii="David" w:hAnsi="David" w:hint="cs"/>
          <w:b w:val="0"/>
          <w:bCs w:val="0"/>
          <w:sz w:val="24"/>
          <w:szCs w:val="24"/>
          <w:rtl/>
        </w:rPr>
        <w:t xml:space="preserve"> פורום החוסכים לפנסיה בישראל ו-</w:t>
      </w:r>
      <w:r w:rsidR="00504973">
        <w:rPr>
          <w:rFonts w:ascii="David" w:hAnsi="David"/>
          <w:b w:val="0"/>
          <w:bCs w:val="0"/>
          <w:sz w:val="24"/>
          <w:szCs w:val="24"/>
        </w:rPr>
        <w:t>.Fossil free Israel</w:t>
      </w:r>
      <w:r>
        <w:rPr>
          <w:rFonts w:ascii="David" w:hAnsi="David" w:hint="cs"/>
          <w:b w:val="0"/>
          <w:bCs w:val="0"/>
          <w:sz w:val="24"/>
          <w:szCs w:val="24"/>
          <w:rtl/>
        </w:rPr>
        <w:t xml:space="preserve"> כמו כן, </w:t>
      </w:r>
      <w:r w:rsidR="00142021">
        <w:rPr>
          <w:rFonts w:ascii="David" w:hAnsi="David" w:hint="cs"/>
          <w:b w:val="0"/>
          <w:bCs w:val="0"/>
          <w:sz w:val="24"/>
          <w:szCs w:val="24"/>
          <w:rtl/>
        </w:rPr>
        <w:t>אנו צופים לתמיכה אקדמית רחבה בשל העובדה כי מרבית מן הצעות החוק שלנו נעשו בייעוץ מלא עם גורמים מן האקדמיה, דוגמת</w:t>
      </w:r>
      <w:r w:rsidR="0027283F">
        <w:rPr>
          <w:rFonts w:ascii="David" w:hAnsi="David" w:hint="cs"/>
          <w:b w:val="0"/>
          <w:bCs w:val="0"/>
          <w:sz w:val="24"/>
          <w:szCs w:val="24"/>
          <w:rtl/>
        </w:rPr>
        <w:t>:</w:t>
      </w:r>
      <w:r w:rsidR="00142021">
        <w:rPr>
          <w:rFonts w:ascii="David" w:hAnsi="David" w:hint="cs"/>
          <w:b w:val="0"/>
          <w:bCs w:val="0"/>
          <w:sz w:val="24"/>
          <w:szCs w:val="24"/>
          <w:rtl/>
        </w:rPr>
        <w:t xml:space="preserve"> פרופ' עלי בוקשפן, מרצה וחוקר בתחום דיני החברות מהמרכז הבינתחומי הרצליה, פרופ' דוד האן </w:t>
      </w:r>
      <w:r w:rsidR="00142021">
        <w:rPr>
          <w:rFonts w:ascii="David" w:hAnsi="David"/>
          <w:b w:val="0"/>
          <w:bCs w:val="0"/>
          <w:sz w:val="24"/>
          <w:szCs w:val="24"/>
          <w:rtl/>
        </w:rPr>
        <w:t>–</w:t>
      </w:r>
      <w:r w:rsidR="00142021">
        <w:rPr>
          <w:rFonts w:ascii="David" w:hAnsi="David" w:hint="cs"/>
          <w:b w:val="0"/>
          <w:bCs w:val="0"/>
          <w:sz w:val="24"/>
          <w:szCs w:val="24"/>
          <w:rtl/>
        </w:rPr>
        <w:t xml:space="preserve"> מומחה בדיני תאגידים ומי שכיהן בין השנים 2011-2016 כאפוטרופו</w:t>
      </w:r>
      <w:r w:rsidR="00142021">
        <w:rPr>
          <w:rFonts w:ascii="David" w:hAnsi="David" w:hint="eastAsia"/>
          <w:b w:val="0"/>
          <w:bCs w:val="0"/>
          <w:sz w:val="24"/>
          <w:szCs w:val="24"/>
          <w:rtl/>
        </w:rPr>
        <w:t>ס</w:t>
      </w:r>
      <w:r w:rsidR="00142021">
        <w:rPr>
          <w:rFonts w:ascii="David" w:hAnsi="David" w:hint="cs"/>
          <w:b w:val="0"/>
          <w:bCs w:val="0"/>
          <w:sz w:val="24"/>
          <w:szCs w:val="24"/>
          <w:rtl/>
        </w:rPr>
        <w:t xml:space="preserve"> הראשי לישראל, ד"ר ליעד אורתר</w:t>
      </w:r>
      <w:r w:rsidR="0027283F">
        <w:rPr>
          <w:rFonts w:ascii="David" w:hAnsi="David" w:hint="cs"/>
          <w:b w:val="0"/>
          <w:bCs w:val="0"/>
          <w:sz w:val="24"/>
          <w:szCs w:val="24"/>
          <w:rtl/>
        </w:rPr>
        <w:t xml:space="preserve"> -</w:t>
      </w:r>
      <w:r w:rsidR="00142021">
        <w:rPr>
          <w:rFonts w:ascii="David" w:hAnsi="David" w:hint="cs"/>
          <w:b w:val="0"/>
          <w:bCs w:val="0"/>
          <w:sz w:val="24"/>
          <w:szCs w:val="24"/>
          <w:rtl/>
        </w:rPr>
        <w:t xml:space="preserve"> ראש המכון לאחריות תאגידית, ואחד המומחים המובילים בישראל לנושאי דיווח אחריות תאגידית. בנוסף, אנו צופים תמיכה מן הסקטור הפרטי משום שנעזרנו בגורמים מן השוק הפרטי, דוגמת</w:t>
      </w:r>
      <w:r w:rsidR="0027283F">
        <w:rPr>
          <w:rFonts w:ascii="David" w:hAnsi="David" w:hint="cs"/>
          <w:b w:val="0"/>
          <w:bCs w:val="0"/>
          <w:sz w:val="24"/>
          <w:szCs w:val="24"/>
          <w:rtl/>
        </w:rPr>
        <w:t>:</w:t>
      </w:r>
      <w:r w:rsidR="00142021">
        <w:rPr>
          <w:rFonts w:ascii="David" w:hAnsi="David" w:hint="cs"/>
          <w:b w:val="0"/>
          <w:bCs w:val="0"/>
          <w:sz w:val="24"/>
          <w:szCs w:val="24"/>
          <w:rtl/>
        </w:rPr>
        <w:t xml:space="preserve"> ד"ר אבשלום אדם </w:t>
      </w:r>
      <w:r w:rsidR="0027283F">
        <w:rPr>
          <w:rFonts w:ascii="David" w:hAnsi="David"/>
          <w:b w:val="0"/>
          <w:bCs w:val="0"/>
          <w:sz w:val="24"/>
          <w:szCs w:val="24"/>
          <w:rtl/>
        </w:rPr>
        <w:t>–</w:t>
      </w:r>
      <w:r w:rsidR="00142021">
        <w:rPr>
          <w:rFonts w:ascii="David" w:hAnsi="David" w:hint="cs"/>
          <w:b w:val="0"/>
          <w:bCs w:val="0"/>
          <w:sz w:val="24"/>
          <w:szCs w:val="24"/>
          <w:rtl/>
        </w:rPr>
        <w:t xml:space="preserve"> </w:t>
      </w:r>
      <w:r w:rsidR="0027283F">
        <w:rPr>
          <w:rFonts w:ascii="David" w:hAnsi="David" w:hint="cs"/>
          <w:b w:val="0"/>
          <w:bCs w:val="0"/>
          <w:sz w:val="24"/>
          <w:szCs w:val="24"/>
          <w:rtl/>
        </w:rPr>
        <w:t xml:space="preserve">מנכ"ל </w:t>
      </w:r>
      <w:r w:rsidR="0027283F">
        <w:rPr>
          <w:rFonts w:ascii="David" w:hAnsi="David"/>
          <w:b w:val="0"/>
          <w:bCs w:val="0"/>
          <w:sz w:val="24"/>
          <w:szCs w:val="24"/>
        </w:rPr>
        <w:t xml:space="preserve">Values </w:t>
      </w:r>
      <w:r w:rsidR="0027283F">
        <w:rPr>
          <w:rFonts w:ascii="David" w:hAnsi="David" w:hint="cs"/>
          <w:b w:val="0"/>
          <w:bCs w:val="0"/>
          <w:sz w:val="24"/>
          <w:szCs w:val="24"/>
          <w:rtl/>
        </w:rPr>
        <w:t xml:space="preserve"> </w:t>
      </w:r>
      <w:r w:rsidR="0027283F">
        <w:rPr>
          <w:rFonts w:ascii="David" w:hAnsi="David"/>
          <w:b w:val="0"/>
          <w:bCs w:val="0"/>
          <w:sz w:val="24"/>
          <w:szCs w:val="24"/>
        </w:rPr>
        <w:t>Management</w:t>
      </w:r>
      <w:r w:rsidR="0027283F">
        <w:rPr>
          <w:rFonts w:ascii="David" w:hAnsi="David" w:hint="cs"/>
          <w:b w:val="0"/>
          <w:bCs w:val="0"/>
          <w:sz w:val="24"/>
          <w:szCs w:val="24"/>
          <w:rtl/>
        </w:rPr>
        <w:t xml:space="preserve">, ונגה לב ציון נדן </w:t>
      </w:r>
      <w:r w:rsidR="0027283F">
        <w:rPr>
          <w:rFonts w:ascii="David" w:hAnsi="David"/>
          <w:b w:val="0"/>
          <w:bCs w:val="0"/>
          <w:sz w:val="24"/>
          <w:szCs w:val="24"/>
          <w:rtl/>
        </w:rPr>
        <w:t>–</w:t>
      </w:r>
      <w:r w:rsidR="0027283F">
        <w:rPr>
          <w:rFonts w:ascii="David" w:hAnsi="David" w:hint="cs"/>
          <w:b w:val="0"/>
          <w:bCs w:val="0"/>
          <w:sz w:val="24"/>
          <w:szCs w:val="24"/>
          <w:rtl/>
        </w:rPr>
        <w:t xml:space="preserve"> מנכ"לית </w:t>
      </w:r>
      <w:r w:rsidR="0027283F">
        <w:rPr>
          <w:rFonts w:ascii="David" w:hAnsi="David"/>
          <w:b w:val="0"/>
          <w:bCs w:val="0"/>
          <w:sz w:val="24"/>
          <w:szCs w:val="24"/>
        </w:rPr>
        <w:t>.GreenEye</w:t>
      </w:r>
      <w:r w:rsidR="0027283F">
        <w:rPr>
          <w:rFonts w:ascii="David" w:hAnsi="David" w:hint="cs"/>
          <w:b w:val="0"/>
          <w:bCs w:val="0"/>
          <w:sz w:val="24"/>
          <w:szCs w:val="24"/>
          <w:rtl/>
        </w:rPr>
        <w:t xml:space="preserve"> </w:t>
      </w:r>
    </w:p>
    <w:p w14:paraId="623BBD46" w14:textId="65A514C9" w:rsidR="00FE6F3F" w:rsidRPr="00504973" w:rsidRDefault="0027283F" w:rsidP="00504973">
      <w:pPr>
        <w:pStyle w:val="HeadHatzaotHok"/>
        <w:jc w:val="both"/>
        <w:rPr>
          <w:rFonts w:ascii="David" w:hAnsi="David"/>
          <w:sz w:val="24"/>
          <w:szCs w:val="24"/>
          <w:u w:val="single"/>
          <w:rtl/>
        </w:rPr>
      </w:pPr>
      <w:r>
        <w:rPr>
          <w:rFonts w:ascii="David" w:hAnsi="David" w:hint="cs"/>
          <w:b w:val="0"/>
          <w:bCs w:val="0"/>
          <w:sz w:val="24"/>
          <w:szCs w:val="24"/>
          <w:rtl/>
        </w:rPr>
        <w:t xml:space="preserve">כמו כן, ובפן הציבורי, אנו מצפים לתמיכה רחבה של חברי כנסת בשל ההתפתחויות הבולטות, ביניהן מסמכי הרשות לני"ע והקמת מדד אקלים 125, בתחומי השקעות </w:t>
      </w:r>
      <w:r>
        <w:rPr>
          <w:rFonts w:ascii="David" w:hAnsi="David" w:hint="cs"/>
          <w:b w:val="0"/>
          <w:bCs w:val="0"/>
          <w:sz w:val="24"/>
          <w:szCs w:val="24"/>
        </w:rPr>
        <w:t>ESG</w:t>
      </w:r>
      <w:r>
        <w:rPr>
          <w:rFonts w:ascii="David" w:hAnsi="David" w:hint="cs"/>
          <w:b w:val="0"/>
          <w:bCs w:val="0"/>
          <w:sz w:val="24"/>
          <w:szCs w:val="24"/>
          <w:rtl/>
        </w:rPr>
        <w:t xml:space="preserve">, והשקעות סביבתיות בפרט. יתרה מכך, ובתחום מיסוי פחמן דו-חמצני - </w:t>
      </w:r>
      <w:r w:rsidR="00FE6F3F">
        <w:rPr>
          <w:rFonts w:ascii="David" w:hAnsi="David" w:hint="cs"/>
          <w:b w:val="0"/>
          <w:bCs w:val="0"/>
          <w:sz w:val="24"/>
          <w:szCs w:val="24"/>
          <w:rtl/>
        </w:rPr>
        <w:t xml:space="preserve">נצפה לתמיכה של רשות </w:t>
      </w:r>
      <w:r>
        <w:rPr>
          <w:rFonts w:ascii="David" w:hAnsi="David" w:hint="cs"/>
          <w:b w:val="0"/>
          <w:bCs w:val="0"/>
          <w:sz w:val="24"/>
          <w:szCs w:val="24"/>
          <w:rtl/>
        </w:rPr>
        <w:t>המיסי</w:t>
      </w:r>
      <w:r>
        <w:rPr>
          <w:rFonts w:ascii="David" w:hAnsi="David" w:hint="eastAsia"/>
          <w:b w:val="0"/>
          <w:bCs w:val="0"/>
          <w:sz w:val="24"/>
          <w:szCs w:val="24"/>
          <w:rtl/>
        </w:rPr>
        <w:t>ם</w:t>
      </w:r>
      <w:r w:rsidR="00FE6F3F">
        <w:rPr>
          <w:rFonts w:ascii="David" w:hAnsi="David" w:hint="cs"/>
          <w:b w:val="0"/>
          <w:bCs w:val="0"/>
          <w:sz w:val="24"/>
          <w:szCs w:val="24"/>
          <w:rtl/>
        </w:rPr>
        <w:t xml:space="preserve"> בשל תקבולי </w:t>
      </w:r>
      <w:r>
        <w:rPr>
          <w:rFonts w:ascii="David" w:hAnsi="David" w:hint="cs"/>
          <w:b w:val="0"/>
          <w:bCs w:val="0"/>
          <w:sz w:val="24"/>
          <w:szCs w:val="24"/>
          <w:rtl/>
        </w:rPr>
        <w:t>המיסי</w:t>
      </w:r>
      <w:r>
        <w:rPr>
          <w:rFonts w:ascii="David" w:hAnsi="David" w:hint="eastAsia"/>
          <w:b w:val="0"/>
          <w:bCs w:val="0"/>
          <w:sz w:val="24"/>
          <w:szCs w:val="24"/>
          <w:rtl/>
        </w:rPr>
        <w:t>ם</w:t>
      </w:r>
      <w:r w:rsidR="00FE6F3F">
        <w:rPr>
          <w:rFonts w:ascii="David" w:hAnsi="David" w:hint="cs"/>
          <w:b w:val="0"/>
          <w:bCs w:val="0"/>
          <w:sz w:val="24"/>
          <w:szCs w:val="24"/>
          <w:rtl/>
        </w:rPr>
        <w:t xml:space="preserve"> שייזקפו לקופת המדינה בשל השטת מס פחמן</w:t>
      </w:r>
      <w:r>
        <w:rPr>
          <w:rFonts w:ascii="David" w:hAnsi="David" w:hint="cs"/>
          <w:b w:val="0"/>
          <w:bCs w:val="0"/>
          <w:sz w:val="24"/>
          <w:szCs w:val="24"/>
          <w:rtl/>
        </w:rPr>
        <w:t>, וכן לתמיכת בנק ישראל שלפני כשנה הוציא נייר עמדה התומך בהטלת מס שכזה.</w:t>
      </w:r>
      <w:r w:rsidR="00FE6F3F">
        <w:rPr>
          <w:rFonts w:ascii="David" w:hAnsi="David" w:hint="cs"/>
          <w:b w:val="0"/>
          <w:bCs w:val="0"/>
          <w:sz w:val="24"/>
          <w:szCs w:val="24"/>
          <w:rtl/>
        </w:rPr>
        <w:t xml:space="preserve"> </w:t>
      </w:r>
    </w:p>
    <w:p w14:paraId="28D90D02" w14:textId="6DA3A118" w:rsidR="00FE6F3F" w:rsidRDefault="00FE6F3F" w:rsidP="00FE6F3F">
      <w:pPr>
        <w:pStyle w:val="HeadHatzaotHok"/>
        <w:jc w:val="both"/>
        <w:rPr>
          <w:rFonts w:ascii="David" w:hAnsi="David"/>
          <w:b w:val="0"/>
          <w:bCs w:val="0"/>
          <w:sz w:val="24"/>
          <w:szCs w:val="24"/>
          <w:rtl/>
        </w:rPr>
      </w:pPr>
      <w:r>
        <w:rPr>
          <w:rFonts w:ascii="David" w:hAnsi="David" w:hint="cs"/>
          <w:b w:val="0"/>
          <w:bCs w:val="0"/>
          <w:sz w:val="24"/>
          <w:szCs w:val="24"/>
          <w:rtl/>
        </w:rPr>
        <w:t xml:space="preserve">אל מול התומכים לעיל, צפויה התנגדות מצדו של משרד האוצר בשל העלויות התקציביות </w:t>
      </w:r>
      <w:r w:rsidR="00341D82">
        <w:rPr>
          <w:rFonts w:ascii="David" w:hAnsi="David" w:hint="cs"/>
          <w:b w:val="0"/>
          <w:bCs w:val="0"/>
          <w:sz w:val="24"/>
          <w:szCs w:val="24"/>
          <w:rtl/>
        </w:rPr>
        <w:t>הגבוהות</w:t>
      </w:r>
      <w:r>
        <w:rPr>
          <w:rFonts w:ascii="David" w:hAnsi="David" w:hint="cs"/>
          <w:b w:val="0"/>
          <w:bCs w:val="0"/>
          <w:sz w:val="24"/>
          <w:szCs w:val="24"/>
          <w:rtl/>
        </w:rPr>
        <w:t xml:space="preserve"> שעלולות </w:t>
      </w:r>
      <w:r w:rsidR="00341D82">
        <w:rPr>
          <w:rFonts w:ascii="David" w:hAnsi="David" w:hint="cs"/>
          <w:b w:val="0"/>
          <w:bCs w:val="0"/>
          <w:sz w:val="24"/>
          <w:szCs w:val="24"/>
          <w:rtl/>
        </w:rPr>
        <w:t>להיווצר</w:t>
      </w:r>
      <w:r>
        <w:rPr>
          <w:rFonts w:ascii="David" w:hAnsi="David" w:hint="cs"/>
          <w:b w:val="0"/>
          <w:bCs w:val="0"/>
          <w:sz w:val="24"/>
          <w:szCs w:val="24"/>
          <w:rtl/>
        </w:rPr>
        <w:t xml:space="preserve"> בעקבות יישום המנגנונים בהצעות החוק. כמו כן, קואליציה של תאגידים פוסיליים עשויה להוות קבוצת אינטרס אשר מתנגדת להצעות החוק הנוגעות לאיסור השקעה בתאגידים פוסיליים. </w:t>
      </w:r>
      <w:r w:rsidR="00341D82">
        <w:rPr>
          <w:rFonts w:ascii="David" w:hAnsi="David" w:hint="cs"/>
          <w:b w:val="0"/>
          <w:bCs w:val="0"/>
          <w:sz w:val="24"/>
          <w:szCs w:val="24"/>
          <w:rtl/>
        </w:rPr>
        <w:t>בנוסף</w:t>
      </w:r>
      <w:r>
        <w:rPr>
          <w:rFonts w:ascii="David" w:hAnsi="David" w:hint="cs"/>
          <w:b w:val="0"/>
          <w:bCs w:val="0"/>
          <w:sz w:val="24"/>
          <w:szCs w:val="24"/>
          <w:rtl/>
        </w:rPr>
        <w:t xml:space="preserve">, תיתכן התנגדות מצדה של הרשות לניירות ערך, ששכן ייתכן כי תרצה להשאיר את המתווים לעיל באופן </w:t>
      </w:r>
      <w:r w:rsidR="0027283F">
        <w:rPr>
          <w:rFonts w:ascii="David" w:hAnsi="David" w:hint="cs"/>
          <w:b w:val="0"/>
          <w:bCs w:val="0"/>
          <w:sz w:val="24"/>
          <w:szCs w:val="24"/>
          <w:rtl/>
        </w:rPr>
        <w:t>וולונטר</w:t>
      </w:r>
      <w:r w:rsidR="0027283F">
        <w:rPr>
          <w:rFonts w:ascii="David" w:hAnsi="David" w:hint="eastAsia"/>
          <w:b w:val="0"/>
          <w:bCs w:val="0"/>
          <w:sz w:val="24"/>
          <w:szCs w:val="24"/>
          <w:rtl/>
        </w:rPr>
        <w:t>י</w:t>
      </w:r>
      <w:r>
        <w:rPr>
          <w:rFonts w:ascii="David" w:hAnsi="David" w:hint="cs"/>
          <w:b w:val="0"/>
          <w:bCs w:val="0"/>
          <w:sz w:val="24"/>
          <w:szCs w:val="24"/>
          <w:rtl/>
        </w:rPr>
        <w:t xml:space="preserve"> ולא לבצע הסדרה בחקיקה ראשית</w:t>
      </w:r>
      <w:r w:rsidR="0027283F">
        <w:rPr>
          <w:rFonts w:ascii="David" w:hAnsi="David" w:hint="cs"/>
          <w:b w:val="0"/>
          <w:bCs w:val="0"/>
          <w:sz w:val="24"/>
          <w:szCs w:val="24"/>
          <w:rtl/>
        </w:rPr>
        <w:t>, ואולי אף תראה זאת כהתערבות באחריותו השיורית של הרגולטור. כמו כן, נצפה להתנגדו</w:t>
      </w:r>
      <w:r w:rsidR="0027283F">
        <w:rPr>
          <w:rFonts w:ascii="David" w:hAnsi="David" w:hint="eastAsia"/>
          <w:b w:val="0"/>
          <w:bCs w:val="0"/>
          <w:sz w:val="24"/>
          <w:szCs w:val="24"/>
          <w:rtl/>
        </w:rPr>
        <w:t>ת</w:t>
      </w:r>
      <w:r w:rsidR="0027283F">
        <w:rPr>
          <w:rFonts w:ascii="David" w:hAnsi="David" w:hint="cs"/>
          <w:b w:val="0"/>
          <w:bCs w:val="0"/>
          <w:sz w:val="24"/>
          <w:szCs w:val="24"/>
          <w:rtl/>
        </w:rPr>
        <w:t xml:space="preserve">, הן אקדמית והן ציבורית, מגורמים בעלי השקפה כלכלית ימין-ליברלית, אשר אידאולוגית מאמינים בהתערבות ממשלתית מינימלית, וזאת על סמך התייעצות שקיימנו עם גורמים בתחום. </w:t>
      </w:r>
    </w:p>
    <w:p w14:paraId="29D4D2C1" w14:textId="77777777" w:rsidR="00FE6F3F" w:rsidRDefault="00FE6F3F" w:rsidP="00FE6F3F">
      <w:pPr>
        <w:pStyle w:val="HeadHatzaotHok"/>
        <w:jc w:val="both"/>
        <w:rPr>
          <w:rFonts w:ascii="David" w:hAnsi="David"/>
          <w:b w:val="0"/>
          <w:bCs w:val="0"/>
          <w:sz w:val="24"/>
          <w:szCs w:val="24"/>
          <w:rtl/>
        </w:rPr>
      </w:pPr>
    </w:p>
    <w:p w14:paraId="1100ECB5" w14:textId="56DEE612" w:rsidR="001E089A" w:rsidRDefault="001E089A" w:rsidP="001E089A">
      <w:pPr>
        <w:pStyle w:val="HeadHatzaotHok"/>
        <w:jc w:val="both"/>
        <w:rPr>
          <w:rFonts w:ascii="David" w:hAnsi="David"/>
          <w:b w:val="0"/>
          <w:bCs w:val="0"/>
          <w:sz w:val="24"/>
          <w:szCs w:val="24"/>
          <w:rtl/>
        </w:rPr>
      </w:pPr>
    </w:p>
    <w:p w14:paraId="402D3235" w14:textId="20EBE3C9" w:rsidR="00855106" w:rsidRDefault="00855106" w:rsidP="001E089A">
      <w:pPr>
        <w:pStyle w:val="HeadHatzaotHok"/>
        <w:jc w:val="both"/>
        <w:rPr>
          <w:rFonts w:ascii="David" w:hAnsi="David"/>
          <w:b w:val="0"/>
          <w:bCs w:val="0"/>
          <w:sz w:val="24"/>
          <w:szCs w:val="24"/>
          <w:rtl/>
        </w:rPr>
      </w:pPr>
    </w:p>
    <w:p w14:paraId="148E6945" w14:textId="366927FA" w:rsidR="00855106" w:rsidRDefault="00855106" w:rsidP="001E089A">
      <w:pPr>
        <w:pStyle w:val="HeadHatzaotHok"/>
        <w:jc w:val="both"/>
        <w:rPr>
          <w:rFonts w:ascii="David" w:hAnsi="David"/>
          <w:b w:val="0"/>
          <w:bCs w:val="0"/>
          <w:sz w:val="24"/>
          <w:szCs w:val="24"/>
          <w:rtl/>
        </w:rPr>
      </w:pPr>
    </w:p>
    <w:p w14:paraId="7B2F663A" w14:textId="6471B90D" w:rsidR="00855106" w:rsidRDefault="00855106" w:rsidP="001E089A">
      <w:pPr>
        <w:pStyle w:val="HeadHatzaotHok"/>
        <w:jc w:val="both"/>
        <w:rPr>
          <w:rFonts w:ascii="David" w:hAnsi="David"/>
          <w:b w:val="0"/>
          <w:bCs w:val="0"/>
          <w:sz w:val="24"/>
          <w:szCs w:val="24"/>
          <w:rtl/>
        </w:rPr>
      </w:pPr>
    </w:p>
    <w:p w14:paraId="79D51CD5" w14:textId="7FC013E8" w:rsidR="00855106" w:rsidRDefault="00855106" w:rsidP="001E089A">
      <w:pPr>
        <w:pStyle w:val="HeadHatzaotHok"/>
        <w:jc w:val="both"/>
        <w:rPr>
          <w:rFonts w:ascii="David" w:hAnsi="David"/>
          <w:b w:val="0"/>
          <w:bCs w:val="0"/>
          <w:sz w:val="24"/>
          <w:szCs w:val="24"/>
          <w:rtl/>
        </w:rPr>
      </w:pPr>
    </w:p>
    <w:p w14:paraId="06C8A74B" w14:textId="77777777" w:rsidR="00855106" w:rsidRPr="001E089A" w:rsidRDefault="00855106" w:rsidP="001E089A">
      <w:pPr>
        <w:pStyle w:val="HeadHatzaotHok"/>
        <w:jc w:val="both"/>
        <w:rPr>
          <w:rFonts w:ascii="David" w:hAnsi="David"/>
          <w:b w:val="0"/>
          <w:bCs w:val="0"/>
          <w:sz w:val="24"/>
          <w:szCs w:val="24"/>
          <w:rtl/>
        </w:rPr>
      </w:pPr>
    </w:p>
    <w:p w14:paraId="53F95D80" w14:textId="77777777" w:rsidR="0062275F" w:rsidRPr="00582BD0" w:rsidRDefault="00F74ED0" w:rsidP="008A1A73">
      <w:pPr>
        <w:pStyle w:val="HeadHatzaotHok"/>
        <w:jc w:val="left"/>
        <w:rPr>
          <w:u w:val="single"/>
          <w:rtl/>
        </w:rPr>
      </w:pPr>
      <w:r w:rsidRPr="00F74ED0">
        <w:rPr>
          <w:rFonts w:hint="cs"/>
          <w:u w:val="single"/>
          <w:rtl/>
        </w:rPr>
        <w:lastRenderedPageBreak/>
        <w:t xml:space="preserve">הצעות חוק </w:t>
      </w:r>
      <w:bookmarkEnd w:id="0"/>
      <w:r w:rsidR="006D60CF">
        <w:rPr>
          <w:rFonts w:hint="cs"/>
          <w:u w:val="single"/>
          <w:rtl/>
        </w:rPr>
        <w:t>חדשות</w:t>
      </w:r>
    </w:p>
    <w:p w14:paraId="7DE84B09" w14:textId="53938DE8" w:rsidR="0062275F" w:rsidRDefault="0062275F" w:rsidP="00AC335B">
      <w:pPr>
        <w:ind w:firstLine="0"/>
        <w:rPr>
          <w:rtl/>
        </w:rPr>
      </w:pPr>
    </w:p>
    <w:p w14:paraId="08EC0B5E" w14:textId="77777777" w:rsidR="0062275F" w:rsidRPr="00F67051" w:rsidRDefault="0062275F" w:rsidP="0062275F">
      <w:pPr>
        <w:pStyle w:val="HeadHatzaotHok"/>
        <w:rPr>
          <w:rtl/>
        </w:rPr>
      </w:pPr>
      <w:r>
        <w:rPr>
          <w:rFonts w:hint="cs"/>
          <w:rtl/>
        </w:rPr>
        <w:t>הצעת חוק החברות הממשלתיות (תיקון – חובת דיווח סביבתי), התשפ״א-2021</w:t>
      </w:r>
    </w:p>
    <w:p w14:paraId="627CC600" w14:textId="77777777" w:rsidR="0062275F" w:rsidRDefault="0062275F" w:rsidP="0062275F">
      <w:pPr>
        <w:pStyle w:val="HeadDivreiHesber"/>
        <w:spacing w:before="0" w:after="0"/>
        <w:rPr>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71"/>
        <w:gridCol w:w="624"/>
        <w:gridCol w:w="624"/>
        <w:gridCol w:w="6519"/>
      </w:tblGrid>
      <w:tr w:rsidR="0062275F" w:rsidRPr="00405423" w14:paraId="38EF0769" w14:textId="77777777" w:rsidTr="00750AEC">
        <w:trPr>
          <w:cantSplit/>
        </w:trPr>
        <w:tc>
          <w:tcPr>
            <w:tcW w:w="1871" w:type="dxa"/>
            <w:hideMark/>
          </w:tcPr>
          <w:p w14:paraId="67C4D852" w14:textId="77777777" w:rsidR="0062275F" w:rsidRDefault="0062275F" w:rsidP="00750AEC">
            <w:pPr>
              <w:pStyle w:val="TableSideHeading"/>
              <w:ind w:right="0"/>
            </w:pPr>
            <w:r>
              <w:rPr>
                <w:sz w:val="26"/>
                <w:rtl/>
              </w:rPr>
              <w:t>תיקון סעיף 32</w:t>
            </w:r>
          </w:p>
        </w:tc>
        <w:tc>
          <w:tcPr>
            <w:tcW w:w="624" w:type="dxa"/>
            <w:hideMark/>
          </w:tcPr>
          <w:p w14:paraId="05ABB854" w14:textId="77777777" w:rsidR="0062275F" w:rsidRDefault="0062275F" w:rsidP="00750AEC">
            <w:pPr>
              <w:pStyle w:val="TableText"/>
            </w:pPr>
            <w:r>
              <w:rPr>
                <w:sz w:val="26"/>
                <w:rtl/>
              </w:rPr>
              <w:t xml:space="preserve">1. </w:t>
            </w:r>
          </w:p>
        </w:tc>
        <w:tc>
          <w:tcPr>
            <w:tcW w:w="7143" w:type="dxa"/>
            <w:gridSpan w:val="2"/>
            <w:hideMark/>
          </w:tcPr>
          <w:p w14:paraId="27CB2FA1" w14:textId="77777777" w:rsidR="0062275F" w:rsidRDefault="0062275F" w:rsidP="00750AEC">
            <w:pPr>
              <w:pStyle w:val="TableBlock"/>
            </w:pPr>
            <w:r>
              <w:rPr>
                <w:sz w:val="26"/>
                <w:rtl/>
              </w:rPr>
              <w:t xml:space="preserve">בחוק החברות הממשלתיות, </w:t>
            </w:r>
            <w:proofErr w:type="spellStart"/>
            <w:r>
              <w:rPr>
                <w:sz w:val="26"/>
                <w:rtl/>
              </w:rPr>
              <w:t>התשל"ה</w:t>
            </w:r>
            <w:proofErr w:type="spellEnd"/>
            <w:r>
              <w:rPr>
                <w:sz w:val="26"/>
                <w:rtl/>
              </w:rPr>
              <w:t>–1975</w:t>
            </w:r>
            <w:r>
              <w:rPr>
                <w:szCs w:val="20"/>
                <w:rtl/>
              </w:rPr>
              <w:footnoteReference w:id="12"/>
            </w:r>
            <w:r>
              <w:rPr>
                <w:szCs w:val="20"/>
                <w:rtl/>
              </w:rPr>
              <w:t xml:space="preserve"> </w:t>
            </w:r>
            <w:r>
              <w:rPr>
                <w:sz w:val="26"/>
                <w:rtl/>
              </w:rPr>
              <w:t>(להלן – החוק העיקרי), בסעיף 32(א), אחרי פסקה (1) יבוא:</w:t>
            </w:r>
          </w:p>
        </w:tc>
      </w:tr>
      <w:tr w:rsidR="0062275F" w:rsidRPr="00405423" w14:paraId="72B8861F" w14:textId="77777777" w:rsidTr="00750AEC">
        <w:trPr>
          <w:cantSplit/>
        </w:trPr>
        <w:tc>
          <w:tcPr>
            <w:tcW w:w="1871" w:type="dxa"/>
          </w:tcPr>
          <w:p w14:paraId="44FC0B67" w14:textId="77777777" w:rsidR="0062275F" w:rsidRDefault="0062275F" w:rsidP="00750AEC">
            <w:pPr>
              <w:pStyle w:val="TableSideHeading"/>
              <w:ind w:right="0"/>
            </w:pPr>
          </w:p>
        </w:tc>
        <w:tc>
          <w:tcPr>
            <w:tcW w:w="624" w:type="dxa"/>
          </w:tcPr>
          <w:p w14:paraId="144E5A78" w14:textId="77777777" w:rsidR="0062275F" w:rsidRDefault="0062275F" w:rsidP="00750AEC">
            <w:pPr>
              <w:pStyle w:val="TableText"/>
            </w:pPr>
          </w:p>
        </w:tc>
        <w:tc>
          <w:tcPr>
            <w:tcW w:w="7143" w:type="dxa"/>
            <w:gridSpan w:val="2"/>
            <w:hideMark/>
          </w:tcPr>
          <w:p w14:paraId="1CF15E3A" w14:textId="77777777" w:rsidR="0062275F" w:rsidRDefault="0062275F" w:rsidP="00750AEC">
            <w:pPr>
              <w:pStyle w:val="TableBlockOutdent"/>
            </w:pPr>
            <w:r>
              <w:rPr>
                <w:sz w:val="26"/>
                <w:rtl/>
              </w:rPr>
              <w:t>"(1א)</w:t>
            </w:r>
            <w:r>
              <w:rPr>
                <w:sz w:val="26"/>
                <w:rtl/>
              </w:rPr>
              <w:tab/>
              <w:t>לקבוע את מדיניות החברה בתחום החברתי והסביבתי;".</w:t>
            </w:r>
          </w:p>
        </w:tc>
      </w:tr>
      <w:tr w:rsidR="0062275F" w:rsidRPr="00405423" w14:paraId="2770861E" w14:textId="77777777" w:rsidTr="00750AEC">
        <w:trPr>
          <w:cantSplit/>
        </w:trPr>
        <w:tc>
          <w:tcPr>
            <w:tcW w:w="1871" w:type="dxa"/>
            <w:hideMark/>
          </w:tcPr>
          <w:p w14:paraId="2BFE562A" w14:textId="77777777" w:rsidR="0062275F" w:rsidRDefault="0062275F" w:rsidP="00750AEC">
            <w:pPr>
              <w:pStyle w:val="TableSideHeading"/>
              <w:ind w:right="0"/>
            </w:pPr>
            <w:r>
              <w:rPr>
                <w:sz w:val="26"/>
                <w:rtl/>
              </w:rPr>
              <w:t>תיקון סעיף 33</w:t>
            </w:r>
          </w:p>
        </w:tc>
        <w:tc>
          <w:tcPr>
            <w:tcW w:w="624" w:type="dxa"/>
            <w:hideMark/>
          </w:tcPr>
          <w:p w14:paraId="573C4952" w14:textId="77777777" w:rsidR="0062275F" w:rsidRDefault="0062275F" w:rsidP="00750AEC">
            <w:pPr>
              <w:pStyle w:val="TableText"/>
            </w:pPr>
            <w:r>
              <w:rPr>
                <w:sz w:val="26"/>
                <w:rtl/>
              </w:rPr>
              <w:t>2.</w:t>
            </w:r>
          </w:p>
        </w:tc>
        <w:tc>
          <w:tcPr>
            <w:tcW w:w="7143" w:type="dxa"/>
            <w:gridSpan w:val="2"/>
            <w:hideMark/>
          </w:tcPr>
          <w:p w14:paraId="3ED5B43E" w14:textId="77777777" w:rsidR="0062275F" w:rsidRDefault="0062275F" w:rsidP="00750AEC">
            <w:pPr>
              <w:pStyle w:val="TableBlock"/>
            </w:pPr>
            <w:r>
              <w:rPr>
                <w:sz w:val="26"/>
                <w:rtl/>
              </w:rPr>
              <w:t>בסעיף 33 לחוק העיקרי –</w:t>
            </w:r>
          </w:p>
        </w:tc>
      </w:tr>
      <w:tr w:rsidR="0062275F" w:rsidRPr="00405423" w14:paraId="4557D08E" w14:textId="77777777" w:rsidTr="00750AEC">
        <w:trPr>
          <w:cantSplit/>
        </w:trPr>
        <w:tc>
          <w:tcPr>
            <w:tcW w:w="1871" w:type="dxa"/>
          </w:tcPr>
          <w:p w14:paraId="22D5ED57" w14:textId="77777777" w:rsidR="0062275F" w:rsidRDefault="0062275F" w:rsidP="00750AEC">
            <w:pPr>
              <w:pStyle w:val="TableSideHeading"/>
              <w:ind w:right="0"/>
              <w:rPr>
                <w:sz w:val="26"/>
              </w:rPr>
            </w:pPr>
          </w:p>
        </w:tc>
        <w:tc>
          <w:tcPr>
            <w:tcW w:w="624" w:type="dxa"/>
          </w:tcPr>
          <w:p w14:paraId="03FEDE2D" w14:textId="77777777" w:rsidR="0062275F" w:rsidRDefault="0062275F" w:rsidP="00750AEC">
            <w:pPr>
              <w:pStyle w:val="TableText"/>
              <w:rPr>
                <w:sz w:val="26"/>
              </w:rPr>
            </w:pPr>
          </w:p>
        </w:tc>
        <w:tc>
          <w:tcPr>
            <w:tcW w:w="7143" w:type="dxa"/>
            <w:gridSpan w:val="2"/>
            <w:hideMark/>
          </w:tcPr>
          <w:p w14:paraId="639E2755" w14:textId="77777777" w:rsidR="0062275F" w:rsidRDefault="0062275F" w:rsidP="00750AEC">
            <w:pPr>
              <w:pStyle w:val="TableBlockOutdent"/>
              <w:rPr>
                <w:sz w:val="26"/>
              </w:rPr>
            </w:pPr>
            <w:r>
              <w:rPr>
                <w:sz w:val="26"/>
                <w:rtl/>
              </w:rPr>
              <w:t>(1)</w:t>
            </w:r>
            <w:r>
              <w:rPr>
                <w:sz w:val="26"/>
                <w:rtl/>
              </w:rPr>
              <w:tab/>
              <w:t xml:space="preserve"> בכותרת השוליים, המילה "כספיים" – תימחק;</w:t>
            </w:r>
          </w:p>
        </w:tc>
      </w:tr>
      <w:tr w:rsidR="0062275F" w:rsidRPr="00405423" w14:paraId="7F511120" w14:textId="77777777" w:rsidTr="00750AEC">
        <w:trPr>
          <w:cantSplit/>
        </w:trPr>
        <w:tc>
          <w:tcPr>
            <w:tcW w:w="1871" w:type="dxa"/>
          </w:tcPr>
          <w:p w14:paraId="54E8A7E8" w14:textId="77777777" w:rsidR="0062275F" w:rsidRDefault="0062275F" w:rsidP="00750AEC">
            <w:pPr>
              <w:pStyle w:val="TableSideHeading"/>
              <w:ind w:right="0"/>
            </w:pPr>
          </w:p>
        </w:tc>
        <w:tc>
          <w:tcPr>
            <w:tcW w:w="624" w:type="dxa"/>
          </w:tcPr>
          <w:p w14:paraId="7C7E64B1" w14:textId="77777777" w:rsidR="0062275F" w:rsidRDefault="0062275F" w:rsidP="00750AEC">
            <w:pPr>
              <w:pStyle w:val="TableText"/>
            </w:pPr>
          </w:p>
        </w:tc>
        <w:tc>
          <w:tcPr>
            <w:tcW w:w="7143" w:type="dxa"/>
            <w:gridSpan w:val="2"/>
            <w:hideMark/>
          </w:tcPr>
          <w:p w14:paraId="17E9CC58" w14:textId="77777777" w:rsidR="0062275F" w:rsidRDefault="0062275F" w:rsidP="00750AEC">
            <w:pPr>
              <w:pStyle w:val="TableBlock"/>
              <w:rPr>
                <w:sz w:val="26"/>
              </w:rPr>
            </w:pPr>
            <w:r>
              <w:rPr>
                <w:sz w:val="26"/>
                <w:rtl/>
              </w:rPr>
              <w:t>(2)</w:t>
            </w:r>
            <w:r>
              <w:rPr>
                <w:sz w:val="26"/>
                <w:rtl/>
              </w:rPr>
              <w:tab/>
              <w:t>בסעיף קטן (א), אחרי פסקה (4) יבוא:</w:t>
            </w:r>
          </w:p>
        </w:tc>
      </w:tr>
      <w:tr w:rsidR="0062275F" w:rsidRPr="00405423" w14:paraId="0D4A77DF" w14:textId="77777777" w:rsidTr="00750AEC">
        <w:trPr>
          <w:cantSplit/>
        </w:trPr>
        <w:tc>
          <w:tcPr>
            <w:tcW w:w="1871" w:type="dxa"/>
          </w:tcPr>
          <w:p w14:paraId="640AEB90" w14:textId="77777777" w:rsidR="0062275F" w:rsidRDefault="0062275F" w:rsidP="00750AEC">
            <w:pPr>
              <w:pStyle w:val="TableSideHeading"/>
            </w:pPr>
          </w:p>
        </w:tc>
        <w:tc>
          <w:tcPr>
            <w:tcW w:w="624" w:type="dxa"/>
          </w:tcPr>
          <w:p w14:paraId="11FBE5BB" w14:textId="77777777" w:rsidR="0062275F" w:rsidRDefault="0062275F" w:rsidP="00750AEC">
            <w:pPr>
              <w:pStyle w:val="TableText"/>
            </w:pPr>
          </w:p>
        </w:tc>
        <w:tc>
          <w:tcPr>
            <w:tcW w:w="624" w:type="dxa"/>
          </w:tcPr>
          <w:p w14:paraId="07A8F86D" w14:textId="77777777" w:rsidR="0062275F" w:rsidRDefault="0062275F" w:rsidP="00750AEC">
            <w:pPr>
              <w:pStyle w:val="TableText"/>
            </w:pPr>
          </w:p>
        </w:tc>
        <w:tc>
          <w:tcPr>
            <w:tcW w:w="6519" w:type="dxa"/>
            <w:hideMark/>
          </w:tcPr>
          <w:p w14:paraId="784F17A1" w14:textId="77777777" w:rsidR="0062275F" w:rsidRDefault="0062275F" w:rsidP="00750AEC">
            <w:pPr>
              <w:pStyle w:val="TableBlock"/>
            </w:pPr>
            <w:r>
              <w:rPr>
                <w:sz w:val="26"/>
                <w:rtl/>
              </w:rPr>
              <w:t>"(5)</w:t>
            </w:r>
            <w:r>
              <w:rPr>
                <w:sz w:val="26"/>
                <w:rtl/>
              </w:rPr>
              <w:tab/>
              <w:t>דו"ח חברתי-סביבתי שיבוצע לפי כלי הערכה ודיווח המנויים בתוספת הראשונה א'.";</w:t>
            </w:r>
          </w:p>
        </w:tc>
      </w:tr>
      <w:tr w:rsidR="0062275F" w:rsidRPr="00405423" w14:paraId="06825921" w14:textId="77777777" w:rsidTr="00750AEC">
        <w:trPr>
          <w:cantSplit/>
        </w:trPr>
        <w:tc>
          <w:tcPr>
            <w:tcW w:w="1871" w:type="dxa"/>
          </w:tcPr>
          <w:p w14:paraId="7CE56D91" w14:textId="77777777" w:rsidR="0062275F" w:rsidRDefault="0062275F" w:rsidP="00750AEC">
            <w:pPr>
              <w:pStyle w:val="TableSideHeading"/>
              <w:ind w:right="0"/>
            </w:pPr>
          </w:p>
        </w:tc>
        <w:tc>
          <w:tcPr>
            <w:tcW w:w="624" w:type="dxa"/>
          </w:tcPr>
          <w:p w14:paraId="08A93F6D" w14:textId="77777777" w:rsidR="0062275F" w:rsidRDefault="0062275F" w:rsidP="00750AEC">
            <w:pPr>
              <w:pStyle w:val="TableText"/>
            </w:pPr>
          </w:p>
        </w:tc>
        <w:tc>
          <w:tcPr>
            <w:tcW w:w="7143" w:type="dxa"/>
            <w:gridSpan w:val="2"/>
            <w:hideMark/>
          </w:tcPr>
          <w:p w14:paraId="5FF2F3DD" w14:textId="77777777" w:rsidR="0062275F" w:rsidRDefault="0062275F" w:rsidP="00750AEC">
            <w:pPr>
              <w:pStyle w:val="TableBlock"/>
              <w:rPr>
                <w:sz w:val="26"/>
              </w:rPr>
            </w:pPr>
            <w:r>
              <w:rPr>
                <w:sz w:val="26"/>
                <w:rtl/>
              </w:rPr>
              <w:t>(3)</w:t>
            </w:r>
            <w:r>
              <w:rPr>
                <w:sz w:val="26"/>
                <w:rtl/>
              </w:rPr>
              <w:tab/>
              <w:t>אחרי סעיף קטן (א1) יבוא:</w:t>
            </w:r>
          </w:p>
        </w:tc>
      </w:tr>
      <w:tr w:rsidR="0062275F" w:rsidRPr="00405423" w14:paraId="34A8962A" w14:textId="77777777" w:rsidTr="00750AEC">
        <w:trPr>
          <w:cantSplit/>
        </w:trPr>
        <w:tc>
          <w:tcPr>
            <w:tcW w:w="1871" w:type="dxa"/>
          </w:tcPr>
          <w:p w14:paraId="51A1F36C" w14:textId="77777777" w:rsidR="0062275F" w:rsidRDefault="0062275F" w:rsidP="00750AEC">
            <w:pPr>
              <w:pStyle w:val="TableSideHeading"/>
            </w:pPr>
          </w:p>
        </w:tc>
        <w:tc>
          <w:tcPr>
            <w:tcW w:w="624" w:type="dxa"/>
          </w:tcPr>
          <w:p w14:paraId="4D04450F" w14:textId="77777777" w:rsidR="0062275F" w:rsidRDefault="0062275F" w:rsidP="00750AEC">
            <w:pPr>
              <w:pStyle w:val="TableText"/>
            </w:pPr>
          </w:p>
        </w:tc>
        <w:tc>
          <w:tcPr>
            <w:tcW w:w="624" w:type="dxa"/>
          </w:tcPr>
          <w:p w14:paraId="37DA2D96" w14:textId="77777777" w:rsidR="0062275F" w:rsidRDefault="0062275F" w:rsidP="00750AEC">
            <w:pPr>
              <w:pStyle w:val="TableText"/>
            </w:pPr>
          </w:p>
        </w:tc>
        <w:tc>
          <w:tcPr>
            <w:tcW w:w="6519" w:type="dxa"/>
            <w:hideMark/>
          </w:tcPr>
          <w:p w14:paraId="4813A4DD" w14:textId="77777777" w:rsidR="0062275F" w:rsidRDefault="0062275F" w:rsidP="00750AEC">
            <w:pPr>
              <w:pStyle w:val="TableBlock"/>
            </w:pPr>
            <w:r>
              <w:rPr>
                <w:sz w:val="26"/>
                <w:rtl/>
              </w:rPr>
              <w:t>"(א2)</w:t>
            </w:r>
            <w:r>
              <w:rPr>
                <w:sz w:val="26"/>
                <w:rtl/>
              </w:rPr>
              <w:tab/>
              <w:t xml:space="preserve">שר האוצר, בהתייעצות עם הרשות ובהתייעצות עם השר האחראי על החברה הממשלתית, רשאי לקבוע רמת דיווח נמוכה מזו הקבועה בתוספת הראשונה א', בהתאם לטיב ואופי פעולתה של החברה. </w:t>
            </w:r>
          </w:p>
        </w:tc>
      </w:tr>
      <w:tr w:rsidR="0062275F" w:rsidRPr="00405423" w14:paraId="27944B19" w14:textId="77777777" w:rsidTr="00750AEC">
        <w:trPr>
          <w:cantSplit/>
        </w:trPr>
        <w:tc>
          <w:tcPr>
            <w:tcW w:w="1871" w:type="dxa"/>
          </w:tcPr>
          <w:p w14:paraId="4295A7F8" w14:textId="77777777" w:rsidR="0062275F" w:rsidRDefault="0062275F" w:rsidP="00750AEC">
            <w:pPr>
              <w:pStyle w:val="TableSideHeading"/>
            </w:pPr>
          </w:p>
        </w:tc>
        <w:tc>
          <w:tcPr>
            <w:tcW w:w="624" w:type="dxa"/>
          </w:tcPr>
          <w:p w14:paraId="02599F5A" w14:textId="77777777" w:rsidR="0062275F" w:rsidRDefault="0062275F" w:rsidP="00750AEC">
            <w:pPr>
              <w:pStyle w:val="TableText"/>
            </w:pPr>
          </w:p>
        </w:tc>
        <w:tc>
          <w:tcPr>
            <w:tcW w:w="624" w:type="dxa"/>
          </w:tcPr>
          <w:p w14:paraId="4342F365" w14:textId="77777777" w:rsidR="0062275F" w:rsidRDefault="0062275F" w:rsidP="00750AEC">
            <w:pPr>
              <w:pStyle w:val="TableText"/>
            </w:pPr>
          </w:p>
        </w:tc>
        <w:tc>
          <w:tcPr>
            <w:tcW w:w="6519" w:type="dxa"/>
            <w:hideMark/>
          </w:tcPr>
          <w:p w14:paraId="7A805044" w14:textId="77777777" w:rsidR="0062275F" w:rsidRDefault="0062275F" w:rsidP="00750AEC">
            <w:pPr>
              <w:pStyle w:val="TableBlock"/>
            </w:pPr>
            <w:r>
              <w:rPr>
                <w:sz w:val="26"/>
                <w:rtl/>
              </w:rPr>
              <w:t>(א3)</w:t>
            </w:r>
            <w:r>
              <w:rPr>
                <w:sz w:val="26"/>
                <w:rtl/>
              </w:rPr>
              <w:tab/>
              <w:t xml:space="preserve">שר האוצר, בהתייעצות עם השר להגנת הסביבה, שר </w:t>
            </w:r>
            <w:r>
              <w:rPr>
                <w:rFonts w:hint="cs"/>
                <w:sz w:val="26"/>
                <w:rtl/>
              </w:rPr>
              <w:t xml:space="preserve">הכלכלה </w:t>
            </w:r>
            <w:r>
              <w:rPr>
                <w:sz w:val="26"/>
                <w:rtl/>
              </w:rPr>
              <w:t>ושר הרווחה והשירותים החברתיים, לפי העניין, ובאישורה של ועדת הפנים והגנת הסביבה של הכנסת, רשאי לשנות את התוספת הראשונה א'."</w:t>
            </w:r>
          </w:p>
        </w:tc>
      </w:tr>
      <w:tr w:rsidR="0062275F" w:rsidRPr="00405423" w14:paraId="703F1E3B" w14:textId="77777777" w:rsidTr="00750AEC">
        <w:trPr>
          <w:cantSplit/>
        </w:trPr>
        <w:tc>
          <w:tcPr>
            <w:tcW w:w="1871" w:type="dxa"/>
            <w:hideMark/>
          </w:tcPr>
          <w:p w14:paraId="7F11C470" w14:textId="77777777" w:rsidR="0062275F" w:rsidRDefault="0062275F" w:rsidP="00750AEC">
            <w:pPr>
              <w:pStyle w:val="TableSideHeading"/>
              <w:ind w:right="0"/>
            </w:pPr>
            <w:r>
              <w:rPr>
                <w:sz w:val="26"/>
                <w:rtl/>
              </w:rPr>
              <w:t>הוספת תוספת ראשונה א'</w:t>
            </w:r>
          </w:p>
        </w:tc>
        <w:tc>
          <w:tcPr>
            <w:tcW w:w="624" w:type="dxa"/>
            <w:hideMark/>
          </w:tcPr>
          <w:p w14:paraId="67A9EC07" w14:textId="77777777" w:rsidR="0062275F" w:rsidRDefault="0062275F" w:rsidP="00750AEC">
            <w:pPr>
              <w:pStyle w:val="TableText"/>
            </w:pPr>
            <w:r>
              <w:rPr>
                <w:sz w:val="26"/>
                <w:rtl/>
              </w:rPr>
              <w:t>3.</w:t>
            </w:r>
          </w:p>
        </w:tc>
        <w:tc>
          <w:tcPr>
            <w:tcW w:w="7143" w:type="dxa"/>
            <w:gridSpan w:val="2"/>
            <w:hideMark/>
          </w:tcPr>
          <w:p w14:paraId="7CD0C5BF" w14:textId="77777777" w:rsidR="0062275F" w:rsidRDefault="0062275F" w:rsidP="00750AEC">
            <w:pPr>
              <w:pStyle w:val="TableBlock"/>
            </w:pPr>
            <w:r>
              <w:rPr>
                <w:sz w:val="26"/>
                <w:rtl/>
              </w:rPr>
              <w:t>אחרי התוספת הראשונה לחוק העיקרי יבוא:</w:t>
            </w:r>
          </w:p>
        </w:tc>
      </w:tr>
      <w:tr w:rsidR="0062275F" w:rsidRPr="00405423" w14:paraId="53C8A7DE" w14:textId="77777777" w:rsidTr="00750AEC">
        <w:trPr>
          <w:cantSplit/>
        </w:trPr>
        <w:tc>
          <w:tcPr>
            <w:tcW w:w="1871" w:type="dxa"/>
          </w:tcPr>
          <w:p w14:paraId="4077A25D" w14:textId="77777777" w:rsidR="0062275F" w:rsidRDefault="0062275F" w:rsidP="00750AEC">
            <w:pPr>
              <w:pStyle w:val="TableSideHeading"/>
            </w:pPr>
          </w:p>
        </w:tc>
        <w:tc>
          <w:tcPr>
            <w:tcW w:w="624" w:type="dxa"/>
          </w:tcPr>
          <w:p w14:paraId="489C9709" w14:textId="77777777" w:rsidR="0062275F" w:rsidRDefault="0062275F" w:rsidP="00750AEC">
            <w:pPr>
              <w:pStyle w:val="TableText"/>
            </w:pPr>
          </w:p>
        </w:tc>
        <w:tc>
          <w:tcPr>
            <w:tcW w:w="7143" w:type="dxa"/>
            <w:gridSpan w:val="2"/>
            <w:hideMark/>
          </w:tcPr>
          <w:p w14:paraId="3A5B1886" w14:textId="77777777" w:rsidR="0062275F" w:rsidRPr="00FE50D7" w:rsidRDefault="0062275F" w:rsidP="00750AEC">
            <w:pPr>
              <w:pStyle w:val="TableHead"/>
              <w:rPr>
                <w:b w:val="0"/>
                <w:bCs w:val="0"/>
              </w:rPr>
            </w:pPr>
            <w:r>
              <w:rPr>
                <w:sz w:val="26"/>
                <w:rtl/>
              </w:rPr>
              <w:t xml:space="preserve">"תוספת ראשונה א' </w:t>
            </w:r>
          </w:p>
        </w:tc>
      </w:tr>
      <w:tr w:rsidR="0062275F" w:rsidRPr="00405423" w14:paraId="4492E8EC" w14:textId="77777777" w:rsidTr="00750AEC">
        <w:trPr>
          <w:cantSplit/>
        </w:trPr>
        <w:tc>
          <w:tcPr>
            <w:tcW w:w="1871" w:type="dxa"/>
          </w:tcPr>
          <w:p w14:paraId="53DCCBA9" w14:textId="77777777" w:rsidR="0062275F" w:rsidRDefault="0062275F" w:rsidP="00750AEC">
            <w:pPr>
              <w:pStyle w:val="TableSideHeading"/>
            </w:pPr>
          </w:p>
        </w:tc>
        <w:tc>
          <w:tcPr>
            <w:tcW w:w="624" w:type="dxa"/>
          </w:tcPr>
          <w:p w14:paraId="587DEE55" w14:textId="77777777" w:rsidR="0062275F" w:rsidRDefault="0062275F" w:rsidP="00750AEC">
            <w:pPr>
              <w:pStyle w:val="TableText"/>
            </w:pPr>
          </w:p>
        </w:tc>
        <w:tc>
          <w:tcPr>
            <w:tcW w:w="7143" w:type="dxa"/>
            <w:gridSpan w:val="2"/>
          </w:tcPr>
          <w:p w14:paraId="722D07D8" w14:textId="77777777" w:rsidR="0062275F" w:rsidRPr="00FE50D7" w:rsidRDefault="0062275F" w:rsidP="00750AEC">
            <w:pPr>
              <w:pStyle w:val="TableBlock"/>
              <w:jc w:val="center"/>
              <w:rPr>
                <w:rtl/>
              </w:rPr>
            </w:pPr>
            <w:r w:rsidRPr="00FE50D7">
              <w:rPr>
                <w:sz w:val="26"/>
                <w:rtl/>
              </w:rPr>
              <w:t>(סעיף 33)</w:t>
            </w:r>
          </w:p>
        </w:tc>
      </w:tr>
      <w:tr w:rsidR="0062275F" w:rsidRPr="00405423" w14:paraId="24CD2EA2" w14:textId="77777777" w:rsidTr="00750AEC">
        <w:trPr>
          <w:cantSplit/>
        </w:trPr>
        <w:tc>
          <w:tcPr>
            <w:tcW w:w="1871" w:type="dxa"/>
          </w:tcPr>
          <w:p w14:paraId="52FE7E86" w14:textId="77777777" w:rsidR="0062275F" w:rsidRDefault="0062275F" w:rsidP="00750AEC">
            <w:pPr>
              <w:pStyle w:val="TableSideHeading"/>
            </w:pPr>
          </w:p>
        </w:tc>
        <w:tc>
          <w:tcPr>
            <w:tcW w:w="624" w:type="dxa"/>
          </w:tcPr>
          <w:p w14:paraId="0848BDE3" w14:textId="77777777" w:rsidR="0062275F" w:rsidRDefault="0062275F" w:rsidP="00750AEC">
            <w:pPr>
              <w:pStyle w:val="TableText"/>
            </w:pPr>
          </w:p>
        </w:tc>
        <w:tc>
          <w:tcPr>
            <w:tcW w:w="7143" w:type="dxa"/>
            <w:gridSpan w:val="2"/>
            <w:hideMark/>
          </w:tcPr>
          <w:p w14:paraId="69A973D2" w14:textId="77777777" w:rsidR="0062275F" w:rsidRPr="001448F0" w:rsidRDefault="0062275F" w:rsidP="00750AEC">
            <w:pPr>
              <w:pStyle w:val="TableBlock"/>
            </w:pPr>
            <w:r w:rsidRPr="001448F0">
              <w:rPr>
                <w:rtl/>
              </w:rPr>
              <w:t xml:space="preserve">דו"ח חברתי-סביבתי לפי כללי הדיווח של ארגון ה- </w:t>
            </w:r>
            <w:r w:rsidRPr="001448F0">
              <w:t>Global Reporting Initiative ("GRI")"</w:t>
            </w:r>
            <w:r w:rsidRPr="001448F0">
              <w:rPr>
                <w:rtl/>
              </w:rPr>
              <w:t xml:space="preserve"> – </w:t>
            </w:r>
            <w:r w:rsidRPr="001448F0">
              <w:t>G3 - Sustainability Reporting Guidelines (2006)</w:t>
            </w:r>
            <w:r w:rsidRPr="001448F0">
              <w:rPr>
                <w:rtl/>
              </w:rPr>
              <w:t>.</w:t>
            </w:r>
            <w:r>
              <w:rPr>
                <w:rFonts w:hint="cs"/>
                <w:rtl/>
              </w:rPr>
              <w:t>"</w:t>
            </w:r>
          </w:p>
        </w:tc>
      </w:tr>
    </w:tbl>
    <w:p w14:paraId="6E82D38B" w14:textId="77777777" w:rsidR="0062275F" w:rsidRDefault="0062275F" w:rsidP="0062275F">
      <w:pPr>
        <w:pStyle w:val="HeadDivreiHesber"/>
        <w:rPr>
          <w:rtl/>
        </w:rPr>
      </w:pPr>
      <w:r w:rsidRPr="0027450A">
        <w:rPr>
          <w:rFonts w:hint="cs"/>
          <w:rtl/>
        </w:rPr>
        <w:t>דברי הסבר</w:t>
      </w:r>
    </w:p>
    <w:p w14:paraId="2BFA5B68" w14:textId="77777777" w:rsidR="0062275F" w:rsidRPr="007729A0" w:rsidRDefault="0062275F" w:rsidP="006A5E0F">
      <w:pPr>
        <w:pStyle w:val="Hesber"/>
        <w:ind w:firstLine="0"/>
        <w:rPr>
          <w:rtl/>
        </w:rPr>
      </w:pPr>
      <w:r w:rsidRPr="007729A0">
        <w:rPr>
          <w:rtl/>
        </w:rPr>
        <w:t xml:space="preserve">בשנים האחרונות הולכת ומתגברת המודעות החברתית-סביבתית של חברות בארץ ובעולם </w:t>
      </w:r>
      <w:r w:rsidRPr="007729A0">
        <w:rPr>
          <w:rtl/>
        </w:rPr>
        <w:lastRenderedPageBreak/>
        <w:t xml:space="preserve">והמונח "אחריות תאגידית" הופך להיות מטבע לשון שגור בפי מקבלי ההחלטות במספר רב של תאגידים. עסקים רבים בעולם פועלים כיום בפרויקטים חברתיים וסביבתיים רבים למען צמצום ההשלכות השליליות של פעילותם על הסביבה ולמען פיתוח בר-קיימא כחלק מנטילת אחריות חברתית-סביבתית. </w:t>
      </w:r>
    </w:p>
    <w:p w14:paraId="3E916B70" w14:textId="77777777" w:rsidR="0062275F" w:rsidRPr="007729A0" w:rsidRDefault="0062275F" w:rsidP="006A5E0F">
      <w:pPr>
        <w:pStyle w:val="Hesber"/>
        <w:ind w:firstLine="0"/>
        <w:rPr>
          <w:rtl/>
        </w:rPr>
      </w:pPr>
      <w:r w:rsidRPr="007729A0">
        <w:rPr>
          <w:rtl/>
        </w:rPr>
        <w:t xml:space="preserve">במקביל לתהליך זה וכחלק בלתי נפרד ממנו התפתח גם נושא הדיווח החברתי-סביבתי (או בשמו האחר: דיווח קיימות), במסגרתו מדווחות חברות על </w:t>
      </w:r>
      <w:r w:rsidRPr="007729A0">
        <w:rPr>
          <w:rFonts w:hint="cs"/>
          <w:rtl/>
        </w:rPr>
        <w:t>ההשלכות</w:t>
      </w:r>
      <w:r w:rsidRPr="007729A0">
        <w:rPr>
          <w:rtl/>
        </w:rPr>
        <w:t xml:space="preserve"> החברתיות והסביבתיות </w:t>
      </w:r>
      <w:r w:rsidRPr="007729A0">
        <w:rPr>
          <w:rFonts w:hint="cs"/>
          <w:rtl/>
        </w:rPr>
        <w:t xml:space="preserve">של פעילותן </w:t>
      </w:r>
      <w:r w:rsidRPr="007729A0">
        <w:rPr>
          <w:rtl/>
        </w:rPr>
        <w:t xml:space="preserve">ופועלן בתחומים אלה. הרחבת הדיווח על ידי תאגידים בנושאים אלה הפכה לחלק מדרישת קרנות ומשקיעים רבים אשר בוחנים את התאגיד לא עוד רק לפי תוצאותיו העסקיות, אלא גם על פי קריטריונים חברתיים וסביבתיים. </w:t>
      </w:r>
    </w:p>
    <w:p w14:paraId="6BD38C8A" w14:textId="77777777" w:rsidR="0062275F" w:rsidRPr="007729A0" w:rsidRDefault="0062275F" w:rsidP="006A5E0F">
      <w:pPr>
        <w:pStyle w:val="Hesber"/>
        <w:ind w:firstLine="0"/>
        <w:rPr>
          <w:rtl/>
        </w:rPr>
      </w:pPr>
      <w:r w:rsidRPr="007729A0">
        <w:rPr>
          <w:rtl/>
        </w:rPr>
        <w:t xml:space="preserve">הרציונל העומד בבסיס הרחבת דרישות הדיווח בעולם בנושאים אלה כפול: ראשית, השפעה רבה מיוחסת לנושאים אלה על שוויה של החברה לטווח הארוך; ושנית, התפיסה כי התאגידים נושאים באחריות רחבה לגורמים חיצוניים לבעלי המניות גרידא. </w:t>
      </w:r>
    </w:p>
    <w:p w14:paraId="2DC376B5" w14:textId="7699ECAC" w:rsidR="0062275F" w:rsidRDefault="0062275F" w:rsidP="006A5E0F">
      <w:pPr>
        <w:pStyle w:val="Hesber"/>
        <w:ind w:firstLine="0"/>
        <w:rPr>
          <w:rtl/>
        </w:rPr>
      </w:pPr>
      <w:r w:rsidRPr="007729A0">
        <w:rPr>
          <w:rtl/>
        </w:rPr>
        <w:t xml:space="preserve">מטרת התיקון המוצע היא לעודד חברות ממשלתיות, אשר מהוות חלק נכבד בכלכלה הישראלית ובעלות השפעה רבה עליה, לגלות אחריות חברתית-סביבתית ולפעול לקידום נושאים אלה. </w:t>
      </w:r>
    </w:p>
    <w:p w14:paraId="0DBAB0E4" w14:textId="77777777" w:rsidR="00AE300B" w:rsidRPr="00D23B84" w:rsidRDefault="00AE300B" w:rsidP="00AE300B">
      <w:pPr>
        <w:pStyle w:val="Hesber"/>
        <w:ind w:firstLine="0"/>
        <w:rPr>
          <w:rtl/>
        </w:rPr>
      </w:pPr>
      <w:r>
        <w:rPr>
          <w:rFonts w:hint="cs"/>
          <w:rtl/>
        </w:rPr>
        <w:t xml:space="preserve">הצעת חוק זו הוכנה בצוות מנגנונים כלכליים של קליניקת הכנסת בפקולטה למשפטים של אוניברסיטת תל אביב ע״י אור ברק </w:t>
      </w:r>
      <w:proofErr w:type="spellStart"/>
      <w:r>
        <w:rPr>
          <w:rFonts w:hint="cs"/>
          <w:rtl/>
        </w:rPr>
        <w:t>ונאדין</w:t>
      </w:r>
      <w:proofErr w:type="spellEnd"/>
      <w:r>
        <w:rPr>
          <w:rFonts w:hint="cs"/>
          <w:rtl/>
        </w:rPr>
        <w:t xml:space="preserve"> </w:t>
      </w:r>
      <w:proofErr w:type="spellStart"/>
      <w:r>
        <w:rPr>
          <w:rFonts w:hint="cs"/>
          <w:rtl/>
        </w:rPr>
        <w:t>ותד</w:t>
      </w:r>
      <w:proofErr w:type="spellEnd"/>
      <w:r>
        <w:rPr>
          <w:rFonts w:hint="cs"/>
          <w:rtl/>
        </w:rPr>
        <w:t xml:space="preserve">.  </w:t>
      </w:r>
    </w:p>
    <w:p w14:paraId="0A19756E" w14:textId="77777777" w:rsidR="00AE300B" w:rsidRPr="007729A0" w:rsidRDefault="00AE300B" w:rsidP="006A5E0F">
      <w:pPr>
        <w:pStyle w:val="Hesber"/>
        <w:ind w:firstLine="0"/>
        <w:rPr>
          <w:rtl/>
        </w:rPr>
      </w:pPr>
    </w:p>
    <w:p w14:paraId="5EB7DE03" w14:textId="3DDEB61B" w:rsidR="0062275F" w:rsidRDefault="0062275F">
      <w:pPr>
        <w:rPr>
          <w:rtl/>
        </w:rPr>
      </w:pPr>
    </w:p>
    <w:p w14:paraId="23FCF843" w14:textId="3ACCDCA2" w:rsidR="0062275F" w:rsidRDefault="0062275F">
      <w:pPr>
        <w:rPr>
          <w:rtl/>
        </w:rPr>
      </w:pPr>
    </w:p>
    <w:p w14:paraId="603918D4" w14:textId="097A5F07" w:rsidR="0062275F" w:rsidRDefault="0062275F">
      <w:pPr>
        <w:rPr>
          <w:rtl/>
        </w:rPr>
      </w:pPr>
    </w:p>
    <w:p w14:paraId="369C3323" w14:textId="216283E8" w:rsidR="0062275F" w:rsidRDefault="0062275F">
      <w:pPr>
        <w:rPr>
          <w:rtl/>
        </w:rPr>
      </w:pPr>
    </w:p>
    <w:p w14:paraId="5B6B2BFA" w14:textId="398307B6" w:rsidR="0062275F" w:rsidRDefault="0062275F">
      <w:pPr>
        <w:rPr>
          <w:rtl/>
        </w:rPr>
      </w:pPr>
    </w:p>
    <w:p w14:paraId="72CBAE8D" w14:textId="0AF44479" w:rsidR="0062275F" w:rsidRDefault="0062275F">
      <w:pPr>
        <w:rPr>
          <w:rtl/>
        </w:rPr>
      </w:pPr>
    </w:p>
    <w:p w14:paraId="57F38323" w14:textId="33FAC3DC" w:rsidR="0062275F" w:rsidRDefault="0062275F">
      <w:pPr>
        <w:rPr>
          <w:rtl/>
        </w:rPr>
      </w:pPr>
    </w:p>
    <w:p w14:paraId="3638A936" w14:textId="36C051BD" w:rsidR="0062275F" w:rsidRDefault="0062275F">
      <w:pPr>
        <w:rPr>
          <w:rtl/>
        </w:rPr>
      </w:pPr>
    </w:p>
    <w:p w14:paraId="0B0C8054" w14:textId="79A3C09F" w:rsidR="0062275F" w:rsidRDefault="0062275F">
      <w:pPr>
        <w:rPr>
          <w:rtl/>
        </w:rPr>
      </w:pPr>
    </w:p>
    <w:p w14:paraId="1A21971D" w14:textId="15AEF70C" w:rsidR="0062275F" w:rsidRDefault="0062275F">
      <w:pPr>
        <w:rPr>
          <w:rtl/>
        </w:rPr>
      </w:pPr>
    </w:p>
    <w:p w14:paraId="74485415" w14:textId="15CEA9D6" w:rsidR="0062275F" w:rsidRDefault="0062275F">
      <w:pPr>
        <w:rPr>
          <w:rtl/>
        </w:rPr>
      </w:pPr>
    </w:p>
    <w:p w14:paraId="34562220" w14:textId="676805FB" w:rsidR="0062275F" w:rsidRDefault="0062275F">
      <w:pPr>
        <w:rPr>
          <w:rtl/>
        </w:rPr>
      </w:pPr>
    </w:p>
    <w:p w14:paraId="1CBA5EA7" w14:textId="34CDF8CC" w:rsidR="0062275F" w:rsidRDefault="0062275F">
      <w:pPr>
        <w:rPr>
          <w:rtl/>
        </w:rPr>
      </w:pPr>
    </w:p>
    <w:p w14:paraId="5CCE7290" w14:textId="770DF0F3" w:rsidR="0062275F" w:rsidRDefault="0062275F">
      <w:pPr>
        <w:rPr>
          <w:rtl/>
        </w:rPr>
      </w:pPr>
    </w:p>
    <w:p w14:paraId="6CE19708" w14:textId="256BF862" w:rsidR="0062275F" w:rsidRDefault="0062275F">
      <w:pPr>
        <w:rPr>
          <w:rtl/>
        </w:rPr>
      </w:pPr>
    </w:p>
    <w:p w14:paraId="3A247F6C" w14:textId="25393870" w:rsidR="0062275F" w:rsidRDefault="0062275F">
      <w:pPr>
        <w:rPr>
          <w:rtl/>
        </w:rPr>
      </w:pPr>
    </w:p>
    <w:p w14:paraId="1F36F13D" w14:textId="19D16EC1" w:rsidR="0062275F" w:rsidRDefault="0062275F">
      <w:pPr>
        <w:rPr>
          <w:rtl/>
        </w:rPr>
      </w:pPr>
    </w:p>
    <w:p w14:paraId="1292A16E" w14:textId="1E47BF19" w:rsidR="0062275F" w:rsidRDefault="0062275F">
      <w:pPr>
        <w:rPr>
          <w:rtl/>
        </w:rPr>
      </w:pPr>
    </w:p>
    <w:p w14:paraId="417AD628" w14:textId="20769F97" w:rsidR="0062275F" w:rsidRDefault="0062275F">
      <w:pPr>
        <w:rPr>
          <w:rtl/>
        </w:rPr>
      </w:pPr>
    </w:p>
    <w:p w14:paraId="01D51C48" w14:textId="67AAA103" w:rsidR="0062275F" w:rsidRDefault="0062275F">
      <w:pPr>
        <w:rPr>
          <w:rtl/>
        </w:rPr>
      </w:pPr>
    </w:p>
    <w:p w14:paraId="17EFEC67" w14:textId="6A4CDCA5" w:rsidR="0062275F" w:rsidRDefault="0062275F">
      <w:pPr>
        <w:rPr>
          <w:rtl/>
        </w:rPr>
      </w:pPr>
    </w:p>
    <w:p w14:paraId="21B98CBF" w14:textId="665936F4" w:rsidR="0062275F" w:rsidRDefault="0062275F">
      <w:pPr>
        <w:rPr>
          <w:rtl/>
        </w:rPr>
      </w:pPr>
    </w:p>
    <w:p w14:paraId="42D42C3B" w14:textId="60B1A794" w:rsidR="0062275F" w:rsidRDefault="0062275F" w:rsidP="00487D69">
      <w:pPr>
        <w:ind w:firstLine="0"/>
        <w:rPr>
          <w:rtl/>
        </w:rPr>
      </w:pPr>
    </w:p>
    <w:p w14:paraId="65B43B12" w14:textId="77777777" w:rsidR="0062275F" w:rsidRDefault="0062275F" w:rsidP="00C01D00">
      <w:pPr>
        <w:pStyle w:val="HeadHatzaotHok"/>
        <w:rPr>
          <w:sz w:val="26"/>
          <w:rtl/>
        </w:rPr>
      </w:pPr>
      <w:bookmarkStart w:id="1" w:name="Title"/>
      <w:r w:rsidRPr="00677062">
        <w:rPr>
          <w:sz w:val="26"/>
          <w:rtl/>
        </w:rPr>
        <w:lastRenderedPageBreak/>
        <w:t>הצעת חוק הפיקוח על שירותים פיננסים</w:t>
      </w:r>
      <w:r>
        <w:rPr>
          <w:rFonts w:hint="cs"/>
          <w:sz w:val="26"/>
          <w:rtl/>
        </w:rPr>
        <w:t xml:space="preserve"> </w:t>
      </w:r>
      <w:r w:rsidRPr="00677062">
        <w:rPr>
          <w:sz w:val="26"/>
          <w:rtl/>
        </w:rPr>
        <w:t>(קופות גמל) (תיקון</w:t>
      </w:r>
      <w:r>
        <w:rPr>
          <w:rFonts w:hint="cs"/>
          <w:sz w:val="26"/>
          <w:rtl/>
        </w:rPr>
        <w:t>–</w:t>
      </w:r>
      <w:r w:rsidRPr="00677062">
        <w:rPr>
          <w:sz w:val="26"/>
          <w:rtl/>
        </w:rPr>
        <w:t xml:space="preserve">חשיפת מדיניות סביבתית), </w:t>
      </w:r>
      <w:bookmarkEnd w:id="1"/>
      <w:r>
        <w:rPr>
          <w:rFonts w:hint="cs"/>
          <w:sz w:val="26"/>
          <w:rtl/>
        </w:rPr>
        <w:t>התשפ״א-2021</w:t>
      </w:r>
    </w:p>
    <w:p w14:paraId="4E4B099D" w14:textId="77777777" w:rsidR="0062275F" w:rsidRPr="0005529F" w:rsidRDefault="0062275F" w:rsidP="0062275F">
      <w:pPr>
        <w:pStyle w:val="HeadHatzaotHok"/>
        <w:spacing w:before="0" w:line="240" w:lineRule="auto"/>
        <w:rPr>
          <w:sz w:val="26"/>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62275F" w14:paraId="56AF6826" w14:textId="77777777" w:rsidTr="00750AEC">
        <w:trPr>
          <w:cantSplit/>
          <w:trHeight w:val="60"/>
        </w:trPr>
        <w:tc>
          <w:tcPr>
            <w:tcW w:w="1871" w:type="dxa"/>
          </w:tcPr>
          <w:p w14:paraId="2FBCB157" w14:textId="77777777" w:rsidR="0062275F" w:rsidRDefault="0062275F" w:rsidP="00750AEC">
            <w:pPr>
              <w:pStyle w:val="TableSideHeading"/>
              <w:keepLines w:val="0"/>
            </w:pPr>
            <w:r>
              <w:rPr>
                <w:rFonts w:hint="cs"/>
                <w:rtl/>
              </w:rPr>
              <w:t xml:space="preserve">תיקון סעיף 16                </w:t>
            </w:r>
          </w:p>
        </w:tc>
        <w:tc>
          <w:tcPr>
            <w:tcW w:w="624" w:type="dxa"/>
          </w:tcPr>
          <w:p w14:paraId="74EC2042" w14:textId="77777777" w:rsidR="0062275F" w:rsidRDefault="0062275F" w:rsidP="00750AEC">
            <w:pPr>
              <w:pStyle w:val="TableText"/>
              <w:keepLines w:val="0"/>
            </w:pPr>
            <w:r>
              <w:rPr>
                <w:rFonts w:hint="cs"/>
                <w:rtl/>
              </w:rPr>
              <w:t>1.</w:t>
            </w:r>
          </w:p>
        </w:tc>
        <w:tc>
          <w:tcPr>
            <w:tcW w:w="7146" w:type="dxa"/>
          </w:tcPr>
          <w:p w14:paraId="219E7306" w14:textId="77777777" w:rsidR="0062275F" w:rsidRPr="00C34DE2" w:rsidRDefault="0062275F" w:rsidP="00750AEC">
            <w:pPr>
              <w:pStyle w:val="TableBlock"/>
              <w:keepLines w:val="0"/>
            </w:pPr>
            <w:r>
              <w:rPr>
                <w:rFonts w:hint="cs"/>
                <w:rtl/>
              </w:rPr>
              <w:t>בחוק הפיקוח על שירותים הפיננסים (קופות גמל), התשס"ה-2005</w:t>
            </w:r>
            <w:r>
              <w:rPr>
                <w:rStyle w:val="FootnoteReference"/>
                <w:rtl/>
              </w:rPr>
              <w:footnoteReference w:id="13"/>
            </w:r>
            <w:r>
              <w:rPr>
                <w:rFonts w:hint="cs"/>
                <w:rtl/>
              </w:rPr>
              <w:t xml:space="preserve"> (להלן– החוק העיקרי), בסעיף 16(ד), בפסקת משנה (4), בסופה יבוא "שתכלול בין היתר גם תיאור של השיקולים החברתיים, הסביבתיים והאתיים שהקופה מתחשבת בהן בבחירת ההשקעות, החזקתן ומימושן וכן תיאור של המדיניות ביחס למימוש הזכויות הנלוות לניירות הערך, כמשמעותן בחוק ניירות</w:t>
            </w:r>
            <w:r>
              <w:rPr>
                <w:rFonts w:hint="cs"/>
              </w:rPr>
              <w:t xml:space="preserve"> </w:t>
            </w:r>
            <w:r>
              <w:rPr>
                <w:rFonts w:hint="cs"/>
                <w:rtl/>
              </w:rPr>
              <w:t>ערך,</w:t>
            </w:r>
            <w:r>
              <w:rPr>
                <w:rFonts w:hint="cs"/>
              </w:rPr>
              <w:t xml:space="preserve"> </w:t>
            </w:r>
            <w:r>
              <w:rPr>
                <w:rFonts w:hint="cs"/>
                <w:rtl/>
              </w:rPr>
              <w:t>התשכ"ח-1968</w:t>
            </w:r>
            <w:r>
              <w:rPr>
                <w:rStyle w:val="FootnoteReference"/>
                <w:rtl/>
              </w:rPr>
              <w:footnoteReference w:id="14"/>
            </w:r>
            <w:r>
              <w:rPr>
                <w:rFonts w:hint="cs"/>
                <w:rtl/>
              </w:rPr>
              <w:t>, לרבות זכות ההצבעה"</w:t>
            </w:r>
          </w:p>
        </w:tc>
      </w:tr>
      <w:tr w:rsidR="0062275F" w14:paraId="3539F0C1" w14:textId="77777777" w:rsidTr="00750AEC">
        <w:trPr>
          <w:cantSplit/>
          <w:trHeight w:val="60"/>
        </w:trPr>
        <w:tc>
          <w:tcPr>
            <w:tcW w:w="1871" w:type="dxa"/>
          </w:tcPr>
          <w:p w14:paraId="223B51C6" w14:textId="77777777" w:rsidR="0062275F" w:rsidRDefault="0062275F" w:rsidP="00750AEC">
            <w:pPr>
              <w:pStyle w:val="TableSideHeading"/>
              <w:keepLines w:val="0"/>
              <w:rPr>
                <w:rtl/>
              </w:rPr>
            </w:pPr>
            <w:r>
              <w:rPr>
                <w:rFonts w:hint="cs"/>
                <w:rtl/>
              </w:rPr>
              <w:t>תיקון סעיף 18</w:t>
            </w:r>
          </w:p>
        </w:tc>
        <w:tc>
          <w:tcPr>
            <w:tcW w:w="624" w:type="dxa"/>
          </w:tcPr>
          <w:p w14:paraId="58BCD5D8" w14:textId="77777777" w:rsidR="0062275F" w:rsidRDefault="0062275F" w:rsidP="00750AEC">
            <w:pPr>
              <w:pStyle w:val="TableText"/>
              <w:keepLines w:val="0"/>
              <w:rPr>
                <w:rtl/>
              </w:rPr>
            </w:pPr>
            <w:r>
              <w:rPr>
                <w:rFonts w:hint="cs"/>
                <w:rtl/>
              </w:rPr>
              <w:t>2.</w:t>
            </w:r>
          </w:p>
        </w:tc>
        <w:tc>
          <w:tcPr>
            <w:tcW w:w="7146" w:type="dxa"/>
          </w:tcPr>
          <w:p w14:paraId="5F64B328" w14:textId="77777777" w:rsidR="0062275F" w:rsidRPr="00C34DE2" w:rsidRDefault="0062275F" w:rsidP="00750AEC">
            <w:pPr>
              <w:pStyle w:val="TableBlock"/>
              <w:keepLines w:val="0"/>
            </w:pPr>
            <w:r>
              <w:rPr>
                <w:rFonts w:hint="cs"/>
                <w:rtl/>
              </w:rPr>
              <w:t>בסעיף 18 לחוק העיקרי, אחרי סעיף קטן (ג) יבוא:</w:t>
            </w:r>
          </w:p>
        </w:tc>
      </w:tr>
      <w:tr w:rsidR="0062275F" w14:paraId="629611DD" w14:textId="77777777" w:rsidTr="00750AEC">
        <w:trPr>
          <w:cantSplit/>
          <w:trHeight w:val="60"/>
        </w:trPr>
        <w:tc>
          <w:tcPr>
            <w:tcW w:w="1871" w:type="dxa"/>
          </w:tcPr>
          <w:p w14:paraId="0AD5F32F" w14:textId="77777777" w:rsidR="0062275F" w:rsidRDefault="0062275F" w:rsidP="00750AEC">
            <w:pPr>
              <w:pStyle w:val="TableSideHeading"/>
              <w:keepLines w:val="0"/>
            </w:pPr>
          </w:p>
        </w:tc>
        <w:tc>
          <w:tcPr>
            <w:tcW w:w="624" w:type="dxa"/>
          </w:tcPr>
          <w:p w14:paraId="4CDF0819" w14:textId="77777777" w:rsidR="0062275F" w:rsidRDefault="0062275F" w:rsidP="00750AEC">
            <w:pPr>
              <w:pStyle w:val="TableText"/>
              <w:keepLines w:val="0"/>
            </w:pPr>
          </w:p>
        </w:tc>
        <w:tc>
          <w:tcPr>
            <w:tcW w:w="7146" w:type="dxa"/>
          </w:tcPr>
          <w:p w14:paraId="23467F80" w14:textId="77777777" w:rsidR="0062275F" w:rsidRPr="00C34DE2" w:rsidRDefault="0062275F" w:rsidP="00750AEC">
            <w:pPr>
              <w:pStyle w:val="TableBlock"/>
              <w:keepLines w:val="0"/>
            </w:pPr>
            <w:r>
              <w:rPr>
                <w:rFonts w:hint="cs"/>
                <w:rtl/>
              </w:rPr>
              <w:t>"(ד)</w:t>
            </w:r>
            <w:r>
              <w:rPr>
                <w:rtl/>
              </w:rPr>
              <w:tab/>
            </w:r>
            <w:r>
              <w:rPr>
                <w:rFonts w:hint="cs"/>
                <w:rtl/>
              </w:rPr>
              <w:t>קופת גמל לקצבה תמציא אחת לשנה לכל עמיתיה את מדיניות ההשקעה שלה כמשמעותה בסעיף 16(ד)(4).".</w:t>
            </w:r>
          </w:p>
        </w:tc>
      </w:tr>
      <w:tr w:rsidR="0062275F" w14:paraId="791FA843" w14:textId="77777777" w:rsidTr="00750AEC">
        <w:trPr>
          <w:cantSplit/>
          <w:trHeight w:val="60"/>
        </w:trPr>
        <w:tc>
          <w:tcPr>
            <w:tcW w:w="1871" w:type="dxa"/>
          </w:tcPr>
          <w:p w14:paraId="32382640" w14:textId="77777777" w:rsidR="0062275F" w:rsidRDefault="0062275F" w:rsidP="00750AEC">
            <w:pPr>
              <w:pStyle w:val="TableSideHeading"/>
              <w:keepLines w:val="0"/>
              <w:rPr>
                <w:rtl/>
              </w:rPr>
            </w:pPr>
            <w:r>
              <w:rPr>
                <w:rFonts w:hint="cs"/>
                <w:rtl/>
              </w:rPr>
              <w:t>תיקון חוק הפיקוח על שירותים פיננסים (עיסוק בייעוץ פנסיוני ושיווק פנסיוני)</w:t>
            </w:r>
          </w:p>
        </w:tc>
        <w:tc>
          <w:tcPr>
            <w:tcW w:w="624" w:type="dxa"/>
          </w:tcPr>
          <w:p w14:paraId="2F202C5C" w14:textId="77777777" w:rsidR="0062275F" w:rsidRDefault="0062275F" w:rsidP="00750AEC">
            <w:pPr>
              <w:pStyle w:val="TableText"/>
              <w:keepLines w:val="0"/>
              <w:rPr>
                <w:rtl/>
              </w:rPr>
            </w:pPr>
            <w:r>
              <w:rPr>
                <w:rFonts w:hint="cs"/>
                <w:rtl/>
              </w:rPr>
              <w:t>3.</w:t>
            </w:r>
          </w:p>
        </w:tc>
        <w:tc>
          <w:tcPr>
            <w:tcW w:w="7146" w:type="dxa"/>
          </w:tcPr>
          <w:p w14:paraId="0052875D" w14:textId="77777777" w:rsidR="0062275F" w:rsidRPr="00C34DE2" w:rsidRDefault="0062275F" w:rsidP="00750AEC">
            <w:pPr>
              <w:pStyle w:val="TableBlock"/>
              <w:keepLines w:val="0"/>
            </w:pPr>
            <w:r>
              <w:rPr>
                <w:rFonts w:hint="cs"/>
                <w:rtl/>
              </w:rPr>
              <w:t>בחוק הפיקוח על שירותים פיננסים (עיסוק בייעוץ פנסיוני ושיווק פנסיוני), התשס"ה-2005</w:t>
            </w:r>
            <w:r>
              <w:rPr>
                <w:rStyle w:val="FootnoteReference"/>
                <w:rtl/>
              </w:rPr>
              <w:footnoteReference w:id="15"/>
            </w:r>
            <w:r>
              <w:rPr>
                <w:rFonts w:hint="cs"/>
                <w:rtl/>
              </w:rPr>
              <w:t>, בסעיף 21, אחרי פסקת משנה (2) יבוא :</w:t>
            </w:r>
          </w:p>
        </w:tc>
      </w:tr>
      <w:tr w:rsidR="0062275F" w14:paraId="16BAA5E3" w14:textId="77777777" w:rsidTr="00750AEC">
        <w:trPr>
          <w:cantSplit/>
          <w:trHeight w:val="60"/>
        </w:trPr>
        <w:tc>
          <w:tcPr>
            <w:tcW w:w="1871" w:type="dxa"/>
          </w:tcPr>
          <w:p w14:paraId="4E871C5C" w14:textId="77777777" w:rsidR="0062275F" w:rsidRDefault="0062275F" w:rsidP="00750AEC">
            <w:pPr>
              <w:pStyle w:val="TableSideHeading"/>
              <w:keepLines w:val="0"/>
              <w:rPr>
                <w:rtl/>
              </w:rPr>
            </w:pPr>
          </w:p>
        </w:tc>
        <w:tc>
          <w:tcPr>
            <w:tcW w:w="624" w:type="dxa"/>
          </w:tcPr>
          <w:p w14:paraId="3057CD9D" w14:textId="77777777" w:rsidR="0062275F" w:rsidRDefault="0062275F" w:rsidP="00750AEC">
            <w:pPr>
              <w:pStyle w:val="TableText"/>
              <w:keepLines w:val="0"/>
              <w:rPr>
                <w:rtl/>
              </w:rPr>
            </w:pPr>
          </w:p>
        </w:tc>
        <w:tc>
          <w:tcPr>
            <w:tcW w:w="7146" w:type="dxa"/>
          </w:tcPr>
          <w:p w14:paraId="3377D1DC" w14:textId="77777777" w:rsidR="0062275F" w:rsidRPr="00C34DE2" w:rsidRDefault="0062275F" w:rsidP="00750AEC">
            <w:pPr>
              <w:pStyle w:val="TableBlock"/>
              <w:keepLines w:val="0"/>
            </w:pPr>
            <w:r>
              <w:rPr>
                <w:rFonts w:hint="cs"/>
                <w:rtl/>
              </w:rPr>
              <w:t>"(3) יגלה בפני לקוח בטרם חתימתו את מדיניות ההשקעה של קופת הגמל נושא השיווק הפנסיוני, כמשמעותה בסעיף 16(ד)(4) לחוק הפיקוח על שירותים פיננסיים(קופות גמל) התשס"ה-2005</w:t>
            </w:r>
            <w:r>
              <w:rPr>
                <w:rStyle w:val="FootnoteReference"/>
                <w:rtl/>
              </w:rPr>
              <w:footnoteReference w:id="16"/>
            </w:r>
            <w:r>
              <w:rPr>
                <w:rFonts w:hint="cs"/>
                <w:rtl/>
              </w:rPr>
              <w:t xml:space="preserve">". </w:t>
            </w:r>
          </w:p>
        </w:tc>
      </w:tr>
    </w:tbl>
    <w:p w14:paraId="6BBA38F2" w14:textId="622790CD" w:rsidR="00AC335B" w:rsidRDefault="00AC335B" w:rsidP="003D5DE4">
      <w:pPr>
        <w:pStyle w:val="HeadDivreiHesber"/>
        <w:spacing w:before="0" w:after="0" w:line="240" w:lineRule="auto"/>
        <w:jc w:val="both"/>
        <w:rPr>
          <w:rtl/>
        </w:rPr>
      </w:pPr>
    </w:p>
    <w:p w14:paraId="55A16991" w14:textId="2C5BCC79" w:rsidR="00AC335B" w:rsidRDefault="00AC335B" w:rsidP="003D5DE4">
      <w:pPr>
        <w:pStyle w:val="HeadDivreiHesber"/>
        <w:spacing w:before="0" w:after="0" w:line="240" w:lineRule="auto"/>
        <w:jc w:val="both"/>
        <w:rPr>
          <w:rtl/>
        </w:rPr>
      </w:pPr>
    </w:p>
    <w:p w14:paraId="58C00DE8" w14:textId="5AE24FDA" w:rsidR="00AC335B" w:rsidRDefault="00AC335B" w:rsidP="0062275F">
      <w:pPr>
        <w:pStyle w:val="HeadDivreiHesber"/>
        <w:spacing w:before="0" w:after="0" w:line="240" w:lineRule="auto"/>
        <w:rPr>
          <w:rtl/>
        </w:rPr>
      </w:pPr>
    </w:p>
    <w:p w14:paraId="734BC389" w14:textId="77777777" w:rsidR="00AC335B" w:rsidRDefault="00AC335B" w:rsidP="0062275F">
      <w:pPr>
        <w:pStyle w:val="HeadDivreiHesber"/>
        <w:spacing w:before="0" w:after="0" w:line="240" w:lineRule="auto"/>
        <w:rPr>
          <w:rtl/>
        </w:rPr>
      </w:pPr>
    </w:p>
    <w:p w14:paraId="20C2402F" w14:textId="77777777" w:rsidR="0062275F" w:rsidRDefault="0062275F" w:rsidP="0062275F">
      <w:pPr>
        <w:pStyle w:val="HeadDivreiHesber"/>
        <w:spacing w:before="0" w:after="0" w:line="240" w:lineRule="auto"/>
        <w:rPr>
          <w:rtl/>
        </w:rPr>
      </w:pPr>
    </w:p>
    <w:p w14:paraId="5725140E" w14:textId="77777777" w:rsidR="0062275F" w:rsidRDefault="0062275F" w:rsidP="0062275F">
      <w:pPr>
        <w:pStyle w:val="HeadDivreiHesber"/>
        <w:spacing w:before="0" w:after="0" w:line="240" w:lineRule="auto"/>
        <w:rPr>
          <w:rtl/>
        </w:rPr>
      </w:pPr>
    </w:p>
    <w:p w14:paraId="447F33C7" w14:textId="77777777" w:rsidR="0062275F" w:rsidRDefault="0062275F" w:rsidP="0062275F">
      <w:pPr>
        <w:pStyle w:val="HeadDivreiHesber"/>
        <w:spacing w:before="0" w:after="0" w:line="240" w:lineRule="auto"/>
        <w:rPr>
          <w:rtl/>
        </w:rPr>
      </w:pPr>
      <w:r>
        <w:rPr>
          <w:rFonts w:hint="cs"/>
          <w:rtl/>
        </w:rPr>
        <w:t>דברי הסבר</w:t>
      </w:r>
    </w:p>
    <w:p w14:paraId="5EF23933" w14:textId="77777777" w:rsidR="0062275F" w:rsidRDefault="0062275F" w:rsidP="0062275F">
      <w:pPr>
        <w:pStyle w:val="HeadDivreiHesber"/>
        <w:spacing w:before="0" w:after="0" w:line="240" w:lineRule="auto"/>
        <w:rPr>
          <w:rtl/>
        </w:rPr>
      </w:pPr>
    </w:p>
    <w:p w14:paraId="0D89468D" w14:textId="77777777" w:rsidR="0062275F" w:rsidRDefault="0062275F" w:rsidP="0062275F">
      <w:pPr>
        <w:pStyle w:val="HeadDivreiHesber"/>
        <w:spacing w:before="0" w:after="0" w:line="240" w:lineRule="auto"/>
        <w:rPr>
          <w:rtl/>
        </w:rPr>
      </w:pPr>
    </w:p>
    <w:p w14:paraId="66644DB6" w14:textId="77777777" w:rsidR="0062275F" w:rsidRPr="007337A5" w:rsidRDefault="0062275F" w:rsidP="00E91819">
      <w:pPr>
        <w:pStyle w:val="Hesber"/>
        <w:ind w:firstLine="0"/>
        <w:rPr>
          <w:rtl/>
        </w:rPr>
      </w:pPr>
      <w:r w:rsidRPr="007337A5">
        <w:rPr>
          <w:rFonts w:hint="cs"/>
          <w:rtl/>
        </w:rPr>
        <w:t xml:space="preserve">עניינה של הצעת חוק זו בחיוב קרנות הפנסיה הפועלות בישראל לגלות ולפרסם את מדיניות השקעתן בנושאים חברתיים – סביבתיים, וכן לחייב את היועצים הפנסיוניים לגלות מדיניות ההשקעה בתהליך השיווק של קרנות הפנסיה לציבור. </w:t>
      </w:r>
      <w:r>
        <w:rPr>
          <w:rFonts w:hint="cs"/>
          <w:rtl/>
        </w:rPr>
        <w:t xml:space="preserve">היום החוק אינו </w:t>
      </w:r>
      <w:r w:rsidRPr="007337A5">
        <w:rPr>
          <w:rFonts w:hint="cs"/>
          <w:rtl/>
        </w:rPr>
        <w:t xml:space="preserve">מטיל חובת גילוי ספציפית בנושאים אלו על קרנות הפנסיה. </w:t>
      </w:r>
    </w:p>
    <w:p w14:paraId="31062BB1" w14:textId="77777777" w:rsidR="0062275F" w:rsidRPr="007337A5" w:rsidRDefault="0062275F" w:rsidP="00E91819">
      <w:pPr>
        <w:pStyle w:val="Hesber"/>
        <w:ind w:firstLine="0"/>
        <w:rPr>
          <w:rtl/>
        </w:rPr>
      </w:pPr>
      <w:r w:rsidRPr="007337A5">
        <w:rPr>
          <w:rFonts w:hint="cs"/>
          <w:rtl/>
        </w:rPr>
        <w:t xml:space="preserve">הצעה זו מבטאת את המשקל המשמעותי של קרנות הפנסיה בשוק ההון. ההצעה מבקשת לעודד השקעה שמביאה לידי ביטוי גם שיקולים של אחריות חברתית וסביבתית ותורמת </w:t>
      </w:r>
      <w:r w:rsidRPr="007337A5">
        <w:rPr>
          <w:rFonts w:hint="cs"/>
          <w:rtl/>
        </w:rPr>
        <w:lastRenderedPageBreak/>
        <w:t>לפיתוחו של דיאלוג עקבי בין קרנות הפנסיה לחברות בנושאים חברתיים וסביבתיים. המודל שההצעה אימצה מבוסס על התפיסה של שקיפות. ההצעה אינה מבקשת להתערב באוטונומיה של קרנות הפנסיה לקבוע את מדיניות ההשקעות שלהן אלא מורה להם לגלות את מדיניות ההשקעה, ובפרט המדיניות ביחס נושאים חברתיים, סביבתיים ואתיים.</w:t>
      </w:r>
    </w:p>
    <w:p w14:paraId="54C6E058" w14:textId="01866D4A" w:rsidR="0062275F" w:rsidRDefault="0062275F" w:rsidP="00E91819">
      <w:pPr>
        <w:pStyle w:val="Hesber"/>
        <w:ind w:firstLine="0"/>
        <w:rPr>
          <w:rtl/>
        </w:rPr>
      </w:pPr>
      <w:r w:rsidRPr="007337A5">
        <w:rPr>
          <w:rFonts w:hint="cs"/>
          <w:rtl/>
        </w:rPr>
        <w:t>ההצעה מבקשת ליצור מתאם טוב יותר בין שוק ההון הישראלי לשווקים הזרים. במ</w:t>
      </w:r>
      <w:r>
        <w:rPr>
          <w:rFonts w:hint="cs"/>
          <w:rtl/>
        </w:rPr>
        <w:t>דינות זרות הנושא של השקעה אתית, ה</w:t>
      </w:r>
      <w:r w:rsidRPr="007337A5">
        <w:rPr>
          <w:rFonts w:hint="cs"/>
          <w:rtl/>
        </w:rPr>
        <w:t>מביא בחשבון שיקולים נוספים לשיקולים כלכליים</w:t>
      </w:r>
      <w:r>
        <w:rPr>
          <w:rFonts w:hint="cs"/>
          <w:rtl/>
        </w:rPr>
        <w:t>,</w:t>
      </w:r>
      <w:r w:rsidRPr="007337A5">
        <w:rPr>
          <w:rFonts w:hint="cs"/>
          <w:rtl/>
        </w:rPr>
        <w:t xml:space="preserve"> הפך להיות חלק אינטגראלי ממערכת ההשקעות. נושא זה קיבל ביטוי בכללים שאומצו בשנת 2006 על ידי הסוכנות הסביבתית של האו"ם - </w:t>
      </w:r>
      <w:r w:rsidRPr="007337A5">
        <w:t>The Principles for Responsible Investment</w:t>
      </w:r>
      <w:r w:rsidRPr="007337A5">
        <w:rPr>
          <w:rFonts w:hint="cs"/>
          <w:rtl/>
        </w:rPr>
        <w:t xml:space="preserve">.  ביסוד המהלך הזה התפיסה כי שוק ההון צריך לתת ביטוי למערכת ההעדפות של משקיעים שונים, ולאפשר למשקיעים לבחור בין מסלולי השקעה שונים גם בהתאם לתפיסת העולם המוסרית-סביבתית שלהם. מודל הגילוי שעומד ביסוד ההצעה עולה בקנה אחד עם תפיסה זו.   </w:t>
      </w:r>
    </w:p>
    <w:p w14:paraId="3C8C2B71" w14:textId="77777777" w:rsidR="00487D69" w:rsidRPr="00D23B84" w:rsidRDefault="00487D69" w:rsidP="00487D69">
      <w:pPr>
        <w:pStyle w:val="Hesber"/>
        <w:ind w:firstLine="0"/>
        <w:rPr>
          <w:rtl/>
        </w:rPr>
      </w:pPr>
      <w:r>
        <w:rPr>
          <w:rFonts w:hint="cs"/>
          <w:rtl/>
        </w:rPr>
        <w:t xml:space="preserve">הצעת חוק זו הוכנה בצוות מנגנונים כלכליים של קליניקת הכנסת בפקולטה למשפטים של אוניברסיטת תל אביב ע״י אור ברק </w:t>
      </w:r>
      <w:proofErr w:type="spellStart"/>
      <w:r>
        <w:rPr>
          <w:rFonts w:hint="cs"/>
          <w:rtl/>
        </w:rPr>
        <w:t>ונאדין</w:t>
      </w:r>
      <w:proofErr w:type="spellEnd"/>
      <w:r>
        <w:rPr>
          <w:rFonts w:hint="cs"/>
          <w:rtl/>
        </w:rPr>
        <w:t xml:space="preserve"> </w:t>
      </w:r>
      <w:proofErr w:type="spellStart"/>
      <w:r>
        <w:rPr>
          <w:rFonts w:hint="cs"/>
          <w:rtl/>
        </w:rPr>
        <w:t>ותד</w:t>
      </w:r>
      <w:proofErr w:type="spellEnd"/>
      <w:r>
        <w:rPr>
          <w:rFonts w:hint="cs"/>
          <w:rtl/>
        </w:rPr>
        <w:t xml:space="preserve">.  </w:t>
      </w:r>
    </w:p>
    <w:p w14:paraId="1D1B54AD" w14:textId="77777777" w:rsidR="00487D69" w:rsidRPr="007337A5" w:rsidRDefault="00487D69" w:rsidP="00E91819">
      <w:pPr>
        <w:pStyle w:val="Hesber"/>
        <w:ind w:firstLine="0"/>
        <w:rPr>
          <w:rtl/>
        </w:rPr>
      </w:pPr>
    </w:p>
    <w:p w14:paraId="228D11FA" w14:textId="467E717D" w:rsidR="0062275F" w:rsidRDefault="0062275F" w:rsidP="00487D69">
      <w:pPr>
        <w:ind w:firstLine="0"/>
        <w:rPr>
          <w:rtl/>
        </w:rPr>
      </w:pPr>
    </w:p>
    <w:p w14:paraId="7BD49EE0" w14:textId="26DFE8BE" w:rsidR="0062275F" w:rsidRDefault="0062275F">
      <w:pPr>
        <w:rPr>
          <w:rtl/>
        </w:rPr>
      </w:pPr>
    </w:p>
    <w:p w14:paraId="76F0941E" w14:textId="257139F1" w:rsidR="0062275F" w:rsidRDefault="0062275F">
      <w:pPr>
        <w:rPr>
          <w:rtl/>
        </w:rPr>
      </w:pPr>
    </w:p>
    <w:p w14:paraId="03C8A0C8" w14:textId="42CCBE0C" w:rsidR="0062275F" w:rsidRDefault="0062275F">
      <w:pPr>
        <w:rPr>
          <w:rtl/>
        </w:rPr>
      </w:pPr>
    </w:p>
    <w:p w14:paraId="43A39E56" w14:textId="76FE2A1F" w:rsidR="0062275F" w:rsidRDefault="0062275F">
      <w:pPr>
        <w:rPr>
          <w:rtl/>
        </w:rPr>
      </w:pPr>
    </w:p>
    <w:p w14:paraId="0FA2E226" w14:textId="76CA7B15" w:rsidR="0062275F" w:rsidRDefault="0062275F">
      <w:pPr>
        <w:rPr>
          <w:rtl/>
        </w:rPr>
      </w:pPr>
    </w:p>
    <w:p w14:paraId="50E0C612" w14:textId="5A1B7AAD" w:rsidR="0062275F" w:rsidRDefault="0062275F">
      <w:pPr>
        <w:rPr>
          <w:rtl/>
        </w:rPr>
      </w:pPr>
    </w:p>
    <w:p w14:paraId="6B3E2C64" w14:textId="4B39E799" w:rsidR="0062275F" w:rsidRDefault="0062275F">
      <w:pPr>
        <w:rPr>
          <w:rtl/>
        </w:rPr>
      </w:pPr>
    </w:p>
    <w:p w14:paraId="0776A862" w14:textId="6E267C3C" w:rsidR="0062275F" w:rsidRDefault="0062275F">
      <w:pPr>
        <w:rPr>
          <w:rtl/>
        </w:rPr>
      </w:pPr>
    </w:p>
    <w:p w14:paraId="5578F252" w14:textId="1BF51C9E" w:rsidR="0062275F" w:rsidRDefault="0062275F">
      <w:pPr>
        <w:rPr>
          <w:rtl/>
        </w:rPr>
      </w:pPr>
    </w:p>
    <w:p w14:paraId="2557914C" w14:textId="2B6DD76B" w:rsidR="0062275F" w:rsidRDefault="0062275F">
      <w:pPr>
        <w:rPr>
          <w:rtl/>
        </w:rPr>
      </w:pPr>
    </w:p>
    <w:p w14:paraId="2FEDF04D" w14:textId="562877F0" w:rsidR="0062275F" w:rsidRDefault="0062275F">
      <w:pPr>
        <w:rPr>
          <w:rtl/>
        </w:rPr>
      </w:pPr>
    </w:p>
    <w:p w14:paraId="698E1457" w14:textId="0AAF4BDD" w:rsidR="0062275F" w:rsidRDefault="0062275F">
      <w:pPr>
        <w:rPr>
          <w:rtl/>
        </w:rPr>
      </w:pPr>
    </w:p>
    <w:p w14:paraId="01FE133D" w14:textId="0B34B63F" w:rsidR="0062275F" w:rsidRDefault="0062275F">
      <w:pPr>
        <w:rPr>
          <w:rtl/>
        </w:rPr>
      </w:pPr>
    </w:p>
    <w:p w14:paraId="00405361" w14:textId="3ECB5518" w:rsidR="0062275F" w:rsidRDefault="0062275F">
      <w:pPr>
        <w:rPr>
          <w:rtl/>
        </w:rPr>
      </w:pPr>
    </w:p>
    <w:p w14:paraId="198C5264" w14:textId="37418B0A" w:rsidR="0062275F" w:rsidRDefault="0062275F">
      <w:pPr>
        <w:rPr>
          <w:rtl/>
        </w:rPr>
      </w:pPr>
    </w:p>
    <w:p w14:paraId="687FC7C3" w14:textId="091F6879" w:rsidR="0062275F" w:rsidRDefault="0062275F">
      <w:pPr>
        <w:rPr>
          <w:rtl/>
        </w:rPr>
      </w:pPr>
    </w:p>
    <w:p w14:paraId="14F79B43" w14:textId="7A0C20BE" w:rsidR="0062275F" w:rsidRDefault="0062275F">
      <w:pPr>
        <w:rPr>
          <w:rtl/>
        </w:rPr>
      </w:pPr>
    </w:p>
    <w:p w14:paraId="695DDC6C" w14:textId="483A763D" w:rsidR="0062275F" w:rsidRDefault="0062275F" w:rsidP="00C01D00">
      <w:pPr>
        <w:ind w:firstLine="0"/>
        <w:rPr>
          <w:rtl/>
        </w:rPr>
      </w:pPr>
    </w:p>
    <w:p w14:paraId="05D6DA81" w14:textId="1E894043" w:rsidR="003D5DE4" w:rsidRDefault="003D5DE4" w:rsidP="00C01D00">
      <w:pPr>
        <w:ind w:firstLine="0"/>
        <w:rPr>
          <w:rtl/>
        </w:rPr>
      </w:pPr>
    </w:p>
    <w:p w14:paraId="12730310" w14:textId="6149438B" w:rsidR="003D5DE4" w:rsidRDefault="003D5DE4" w:rsidP="00C01D00">
      <w:pPr>
        <w:ind w:firstLine="0"/>
        <w:rPr>
          <w:rtl/>
        </w:rPr>
      </w:pPr>
    </w:p>
    <w:p w14:paraId="52B11751" w14:textId="6ED866E0" w:rsidR="003D5DE4" w:rsidRDefault="003D5DE4" w:rsidP="00C01D00">
      <w:pPr>
        <w:ind w:firstLine="0"/>
        <w:rPr>
          <w:rtl/>
        </w:rPr>
      </w:pPr>
    </w:p>
    <w:p w14:paraId="788C0C69" w14:textId="77777777" w:rsidR="003D5DE4" w:rsidRDefault="003D5DE4" w:rsidP="00C01D00">
      <w:pPr>
        <w:ind w:firstLine="0"/>
        <w:rPr>
          <w:rtl/>
        </w:rPr>
      </w:pPr>
    </w:p>
    <w:p w14:paraId="39F175CC" w14:textId="7F40E15E" w:rsidR="0062275F" w:rsidRDefault="0062275F">
      <w:pPr>
        <w:rPr>
          <w:rtl/>
        </w:rPr>
      </w:pPr>
    </w:p>
    <w:p w14:paraId="02417919" w14:textId="77777777" w:rsidR="0062275F" w:rsidRDefault="0062275F" w:rsidP="0062275F">
      <w:pPr>
        <w:pStyle w:val="HeadHatzaotHok"/>
        <w:rPr>
          <w:rtl/>
        </w:rPr>
      </w:pPr>
      <w:r>
        <w:rPr>
          <w:rFonts w:hint="cs"/>
          <w:rtl/>
        </w:rPr>
        <w:lastRenderedPageBreak/>
        <w:t xml:space="preserve">הצעת חוק ניירות ערך (תיקון </w:t>
      </w:r>
      <w:r>
        <w:rPr>
          <w:rFonts w:hint="eastAsia"/>
          <w:rtl/>
        </w:rPr>
        <w:t>–</w:t>
      </w:r>
      <w:r>
        <w:rPr>
          <w:rFonts w:hint="cs"/>
          <w:rtl/>
        </w:rPr>
        <w:t xml:space="preserve"> חובת דיווח על תמיכות סביבתיות), התשפ״א-2021</w:t>
      </w:r>
    </w:p>
    <w:p w14:paraId="24CF6B0A" w14:textId="77777777" w:rsidR="0062275F" w:rsidRDefault="0062275F" w:rsidP="0062275F">
      <w:pPr>
        <w:pStyle w:val="HeadHatzaotHok"/>
        <w:spacing w:line="240" w:lineRule="auto"/>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62275F" w14:paraId="0AD4D7C6" w14:textId="77777777" w:rsidTr="00750AEC">
        <w:trPr>
          <w:cantSplit/>
        </w:trPr>
        <w:tc>
          <w:tcPr>
            <w:tcW w:w="1871" w:type="dxa"/>
          </w:tcPr>
          <w:p w14:paraId="444A269E" w14:textId="77777777" w:rsidR="0062275F" w:rsidRDefault="0062275F" w:rsidP="00750AEC">
            <w:pPr>
              <w:pStyle w:val="TableSideHeading"/>
              <w:ind w:right="0"/>
            </w:pPr>
            <w:r>
              <w:rPr>
                <w:rtl/>
              </w:rPr>
              <w:t xml:space="preserve">תיקון </w:t>
            </w:r>
            <w:r w:rsidRPr="00197B27">
              <w:rPr>
                <w:rtl/>
              </w:rPr>
              <w:t>סעיף</w:t>
            </w:r>
            <w:r>
              <w:rPr>
                <w:rtl/>
              </w:rPr>
              <w:t xml:space="preserve"> 36</w:t>
            </w:r>
          </w:p>
        </w:tc>
        <w:tc>
          <w:tcPr>
            <w:tcW w:w="624" w:type="dxa"/>
          </w:tcPr>
          <w:p w14:paraId="6BB85B74" w14:textId="77777777" w:rsidR="0062275F" w:rsidRPr="00197B27" w:rsidRDefault="0062275F" w:rsidP="00750AEC">
            <w:pPr>
              <w:pStyle w:val="TableText"/>
              <w:ind w:right="0"/>
              <w:jc w:val="both"/>
            </w:pPr>
            <w:r>
              <w:rPr>
                <w:rtl/>
              </w:rPr>
              <w:t>1.</w:t>
            </w:r>
          </w:p>
        </w:tc>
        <w:tc>
          <w:tcPr>
            <w:tcW w:w="7143" w:type="dxa"/>
          </w:tcPr>
          <w:p w14:paraId="1A996C1A" w14:textId="77777777" w:rsidR="0062275F" w:rsidRPr="00197B27" w:rsidRDefault="0062275F" w:rsidP="00750AEC">
            <w:pPr>
              <w:pStyle w:val="TableBlock"/>
            </w:pPr>
            <w:r w:rsidRPr="00197B27">
              <w:rPr>
                <w:rtl/>
              </w:rPr>
              <w:t xml:space="preserve">בחוק ניירות ערך, </w:t>
            </w:r>
            <w:proofErr w:type="spellStart"/>
            <w:r w:rsidRPr="00197B27">
              <w:rPr>
                <w:rtl/>
              </w:rPr>
              <w:t>התשכ"ח</w:t>
            </w:r>
            <w:proofErr w:type="spellEnd"/>
            <w:r w:rsidRPr="00197B27">
              <w:rPr>
                <w:rtl/>
              </w:rPr>
              <w:t>–1968</w:t>
            </w:r>
            <w:r w:rsidRPr="00802870">
              <w:rPr>
                <w:vertAlign w:val="superscript"/>
                <w:rtl/>
              </w:rPr>
              <w:footnoteReference w:id="17"/>
            </w:r>
            <w:r w:rsidRPr="00197B27">
              <w:rPr>
                <w:rtl/>
              </w:rPr>
              <w:t xml:space="preserve">, בסעיף 36, אחרי סעיף קטן (א) יבוא: </w:t>
            </w:r>
          </w:p>
        </w:tc>
      </w:tr>
      <w:tr w:rsidR="0062275F" w14:paraId="49210F64" w14:textId="77777777" w:rsidTr="00750AEC">
        <w:trPr>
          <w:cantSplit/>
        </w:trPr>
        <w:tc>
          <w:tcPr>
            <w:tcW w:w="1871" w:type="dxa"/>
          </w:tcPr>
          <w:p w14:paraId="22666E7E" w14:textId="77777777" w:rsidR="0062275F" w:rsidRDefault="0062275F" w:rsidP="00750AEC">
            <w:pPr>
              <w:pStyle w:val="TableSideHeading"/>
              <w:keepLines w:val="0"/>
            </w:pPr>
          </w:p>
        </w:tc>
        <w:tc>
          <w:tcPr>
            <w:tcW w:w="624" w:type="dxa"/>
          </w:tcPr>
          <w:p w14:paraId="4EA9AE04" w14:textId="77777777" w:rsidR="0062275F" w:rsidRDefault="0062275F" w:rsidP="00750AEC">
            <w:pPr>
              <w:pStyle w:val="TableText"/>
              <w:keepLines w:val="0"/>
            </w:pPr>
          </w:p>
        </w:tc>
        <w:tc>
          <w:tcPr>
            <w:tcW w:w="7143" w:type="dxa"/>
          </w:tcPr>
          <w:p w14:paraId="5E85ABEA" w14:textId="77777777" w:rsidR="0062275F" w:rsidRPr="00197B27" w:rsidRDefault="0062275F" w:rsidP="00750AEC">
            <w:pPr>
              <w:pStyle w:val="TableBlock"/>
            </w:pPr>
            <w:r w:rsidRPr="00197B27">
              <w:rPr>
                <w:rtl/>
              </w:rPr>
              <w:t>"(א1)</w:t>
            </w:r>
            <w:r w:rsidRPr="00197B27">
              <w:rPr>
                <w:rtl/>
              </w:rPr>
              <w:tab/>
            </w:r>
            <w:r>
              <w:rPr>
                <w:rtl/>
              </w:rPr>
              <w:t>תאגיד יכלול בדו</w:t>
            </w:r>
            <w:r w:rsidRPr="00197B27">
              <w:rPr>
                <w:rtl/>
              </w:rPr>
              <w:t xml:space="preserve">חות לפי סעיף קטן (א) גם את פירוט ההוצאות שהוציא עבור תמיכה בפרויקטים </w:t>
            </w:r>
            <w:r>
              <w:rPr>
                <w:rFonts w:hint="cs"/>
                <w:rtl/>
              </w:rPr>
              <w:t>סביבתיים</w:t>
            </w:r>
            <w:r w:rsidRPr="00197B27">
              <w:rPr>
                <w:rtl/>
              </w:rPr>
              <w:t xml:space="preserve">; לעניין זה, "תמיכה בפרויקטים </w:t>
            </w:r>
            <w:r>
              <w:rPr>
                <w:rFonts w:hint="cs"/>
                <w:rtl/>
              </w:rPr>
              <w:t>סביבתיים</w:t>
            </w:r>
            <w:r w:rsidRPr="00197B27">
              <w:rPr>
                <w:rtl/>
              </w:rPr>
              <w:t xml:space="preserve">" </w:t>
            </w:r>
            <w:r w:rsidRPr="00197B27">
              <w:rPr>
                <w:rtl/>
              </w:rPr>
              <w:softHyphen/>
              <w:t>– השתתפות ותמיכה בפרויקטים שלדע</w:t>
            </w:r>
            <w:r>
              <w:rPr>
                <w:rtl/>
              </w:rPr>
              <w:t xml:space="preserve">ת התאגיד מקדמים את </w:t>
            </w:r>
            <w:r>
              <w:rPr>
                <w:rFonts w:hint="cs"/>
                <w:rtl/>
              </w:rPr>
              <w:t>הסביבה והאקלים</w:t>
            </w:r>
            <w:r>
              <w:rPr>
                <w:rtl/>
              </w:rPr>
              <w:t xml:space="preserve"> בישרא</w:t>
            </w:r>
            <w:r>
              <w:rPr>
                <w:rFonts w:hint="cs"/>
                <w:rtl/>
              </w:rPr>
              <w:t>ל</w:t>
            </w:r>
            <w:r w:rsidRPr="00197B27">
              <w:rPr>
                <w:rtl/>
              </w:rPr>
              <w:t>."</w:t>
            </w:r>
          </w:p>
        </w:tc>
      </w:tr>
    </w:tbl>
    <w:p w14:paraId="145851F0" w14:textId="77777777" w:rsidR="0062275F" w:rsidRDefault="0062275F" w:rsidP="0062275F">
      <w:pPr>
        <w:pStyle w:val="HeadDivreiHesber"/>
        <w:spacing w:before="0" w:after="0"/>
        <w:rPr>
          <w:rtl/>
        </w:rPr>
      </w:pPr>
    </w:p>
    <w:p w14:paraId="1B4C192A" w14:textId="77777777" w:rsidR="0062275F" w:rsidRDefault="0062275F" w:rsidP="0062275F">
      <w:pPr>
        <w:pStyle w:val="HeadDivreiHesber"/>
        <w:spacing w:before="0" w:after="0"/>
        <w:rPr>
          <w:rtl/>
        </w:rPr>
      </w:pPr>
      <w:r>
        <w:rPr>
          <w:rtl/>
        </w:rPr>
        <w:t>דברי הסבר</w:t>
      </w:r>
    </w:p>
    <w:p w14:paraId="638F06B9" w14:textId="74B7F680" w:rsidR="00BC6B4A" w:rsidRDefault="0062275F" w:rsidP="00BC6B4A">
      <w:pPr>
        <w:pStyle w:val="Hesber"/>
        <w:ind w:firstLine="0"/>
        <w:rPr>
          <w:rtl/>
        </w:rPr>
      </w:pPr>
      <w:r>
        <w:rPr>
          <w:rtl/>
        </w:rPr>
        <w:t xml:space="preserve">מטרת הצעת חוק זו היא לחייב חברות ציבוריות לחשוף את נתוני התמיכה והתרומות שלהן לטובת </w:t>
      </w:r>
      <w:r>
        <w:rPr>
          <w:rFonts w:hint="cs"/>
          <w:rtl/>
        </w:rPr>
        <w:t>הסביבה ו</w:t>
      </w:r>
      <w:r w:rsidR="00C55039">
        <w:rPr>
          <w:rFonts w:hint="cs"/>
          <w:rtl/>
        </w:rPr>
        <w:t xml:space="preserve">לפתרון משבר </w:t>
      </w:r>
      <w:r>
        <w:rPr>
          <w:rFonts w:hint="cs"/>
          <w:rtl/>
        </w:rPr>
        <w:t>האקלים</w:t>
      </w:r>
      <w:r>
        <w:rPr>
          <w:rtl/>
        </w:rPr>
        <w:t xml:space="preserve"> ולעודד אותן לתרום לחברה ולמוסדות הפועלים בתחום </w:t>
      </w:r>
      <w:r>
        <w:rPr>
          <w:rFonts w:hint="cs"/>
          <w:rtl/>
        </w:rPr>
        <w:t>הסביבתי</w:t>
      </w:r>
      <w:r>
        <w:rPr>
          <w:rtl/>
        </w:rPr>
        <w:t xml:space="preserve"> על כל גווניו.</w:t>
      </w:r>
    </w:p>
    <w:p w14:paraId="0961E92B" w14:textId="078A669B" w:rsidR="0062275F" w:rsidRDefault="0062275F" w:rsidP="00BC6B4A">
      <w:pPr>
        <w:pStyle w:val="Hesber"/>
        <w:ind w:firstLine="0"/>
        <w:rPr>
          <w:rtl/>
        </w:rPr>
      </w:pPr>
      <w:r>
        <w:rPr>
          <w:rtl/>
        </w:rPr>
        <w:t>הצעת חוק זו מעודדת מתן תרומות על ידי חברות ציבוריות ל</w:t>
      </w:r>
      <w:r>
        <w:rPr>
          <w:rFonts w:hint="cs"/>
          <w:rtl/>
        </w:rPr>
        <w:t xml:space="preserve">שיפור הסביבה והאקלים, ולבלימת משבר האקלים אשר מהווה סיכון מרכזי בשנים האחרונות. כמו כן, הצעת החוק מעודדת </w:t>
      </w:r>
      <w:r>
        <w:rPr>
          <w:rtl/>
        </w:rPr>
        <w:t xml:space="preserve">תחרות בין החברות שמחזקת את עקרונות האחריות </w:t>
      </w:r>
      <w:r>
        <w:rPr>
          <w:rFonts w:hint="cs"/>
          <w:rtl/>
        </w:rPr>
        <w:t>הסביבתית</w:t>
      </w:r>
      <w:r>
        <w:rPr>
          <w:rtl/>
        </w:rPr>
        <w:t xml:space="preserve"> במשק לטובת כלל הציבור.</w:t>
      </w:r>
    </w:p>
    <w:p w14:paraId="039CB4F0" w14:textId="77777777" w:rsidR="00BC6B4A" w:rsidRPr="00D23B84" w:rsidRDefault="00BC6B4A" w:rsidP="00BC6B4A">
      <w:pPr>
        <w:pStyle w:val="Hesber"/>
        <w:ind w:firstLine="0"/>
        <w:rPr>
          <w:rtl/>
        </w:rPr>
      </w:pPr>
      <w:r>
        <w:rPr>
          <w:rFonts w:hint="cs"/>
          <w:rtl/>
        </w:rPr>
        <w:t xml:space="preserve">הצעת חוק זו הוכנה בצוות מנגנונים כלכליים של קליניקת הכנסת בפקולטה למשפטים של אוניברסיטת תל אביב ע״י אור ברק </w:t>
      </w:r>
      <w:proofErr w:type="spellStart"/>
      <w:r>
        <w:rPr>
          <w:rFonts w:hint="cs"/>
          <w:rtl/>
        </w:rPr>
        <w:t>ונאדין</w:t>
      </w:r>
      <w:proofErr w:type="spellEnd"/>
      <w:r>
        <w:rPr>
          <w:rFonts w:hint="cs"/>
          <w:rtl/>
        </w:rPr>
        <w:t xml:space="preserve"> </w:t>
      </w:r>
      <w:proofErr w:type="spellStart"/>
      <w:r>
        <w:rPr>
          <w:rFonts w:hint="cs"/>
          <w:rtl/>
        </w:rPr>
        <w:t>ותד</w:t>
      </w:r>
      <w:proofErr w:type="spellEnd"/>
      <w:r>
        <w:rPr>
          <w:rFonts w:hint="cs"/>
          <w:rtl/>
        </w:rPr>
        <w:t xml:space="preserve">.  </w:t>
      </w:r>
    </w:p>
    <w:p w14:paraId="14365662" w14:textId="77777777" w:rsidR="00BC6B4A" w:rsidRDefault="00BC6B4A" w:rsidP="00BC6B4A">
      <w:pPr>
        <w:pStyle w:val="Hesber"/>
        <w:ind w:firstLine="0"/>
        <w:rPr>
          <w:rtl/>
        </w:rPr>
      </w:pPr>
    </w:p>
    <w:p w14:paraId="7712DBF7" w14:textId="70A36730" w:rsidR="0062275F" w:rsidRDefault="0062275F">
      <w:pPr>
        <w:rPr>
          <w:rtl/>
        </w:rPr>
      </w:pPr>
    </w:p>
    <w:p w14:paraId="47BA98F8" w14:textId="5C8B37BC" w:rsidR="0062275F" w:rsidRDefault="0062275F">
      <w:pPr>
        <w:rPr>
          <w:rtl/>
        </w:rPr>
      </w:pPr>
    </w:p>
    <w:p w14:paraId="63E618BD" w14:textId="0D4FE4A7" w:rsidR="0062275F" w:rsidRDefault="0062275F">
      <w:pPr>
        <w:rPr>
          <w:rtl/>
        </w:rPr>
      </w:pPr>
    </w:p>
    <w:p w14:paraId="4D0393EA" w14:textId="1D4E4928" w:rsidR="0062275F" w:rsidRDefault="0062275F">
      <w:pPr>
        <w:rPr>
          <w:rtl/>
        </w:rPr>
      </w:pPr>
    </w:p>
    <w:p w14:paraId="5F595281" w14:textId="00BF09F1" w:rsidR="0062275F" w:rsidRDefault="0062275F">
      <w:pPr>
        <w:rPr>
          <w:rtl/>
        </w:rPr>
      </w:pPr>
    </w:p>
    <w:p w14:paraId="3BED0551" w14:textId="0EF1D90F" w:rsidR="0062275F" w:rsidRDefault="0062275F">
      <w:pPr>
        <w:rPr>
          <w:rtl/>
        </w:rPr>
      </w:pPr>
    </w:p>
    <w:p w14:paraId="6F20D137" w14:textId="590710BB" w:rsidR="0062275F" w:rsidRDefault="0062275F">
      <w:pPr>
        <w:rPr>
          <w:rtl/>
        </w:rPr>
      </w:pPr>
    </w:p>
    <w:p w14:paraId="7F19C98B" w14:textId="1B55E41E" w:rsidR="0062275F" w:rsidRDefault="0062275F">
      <w:pPr>
        <w:rPr>
          <w:rtl/>
        </w:rPr>
      </w:pPr>
    </w:p>
    <w:p w14:paraId="491D07DF" w14:textId="79C3DFF5" w:rsidR="0062275F" w:rsidRDefault="0062275F">
      <w:pPr>
        <w:rPr>
          <w:rtl/>
        </w:rPr>
      </w:pPr>
    </w:p>
    <w:p w14:paraId="6A73B40F" w14:textId="73CF9F9A" w:rsidR="0062275F" w:rsidRDefault="0062275F">
      <w:pPr>
        <w:rPr>
          <w:rtl/>
        </w:rPr>
      </w:pPr>
    </w:p>
    <w:p w14:paraId="7F2AD652" w14:textId="296CFFE7" w:rsidR="0062275F" w:rsidRDefault="0062275F">
      <w:pPr>
        <w:rPr>
          <w:rtl/>
        </w:rPr>
      </w:pPr>
    </w:p>
    <w:p w14:paraId="55A1FAFD" w14:textId="42268CFC" w:rsidR="0062275F" w:rsidRDefault="0062275F">
      <w:pPr>
        <w:rPr>
          <w:rtl/>
        </w:rPr>
      </w:pPr>
    </w:p>
    <w:p w14:paraId="5BFB678D" w14:textId="56C07B6A" w:rsidR="0062275F" w:rsidRDefault="0062275F">
      <w:pPr>
        <w:rPr>
          <w:rtl/>
        </w:rPr>
      </w:pPr>
    </w:p>
    <w:p w14:paraId="314B80A1" w14:textId="38926247" w:rsidR="0062275F" w:rsidRDefault="0062275F">
      <w:pPr>
        <w:rPr>
          <w:rtl/>
        </w:rPr>
      </w:pPr>
    </w:p>
    <w:p w14:paraId="62D103B3" w14:textId="0787D5EE" w:rsidR="0062275F" w:rsidRDefault="0062275F">
      <w:pPr>
        <w:rPr>
          <w:rtl/>
        </w:rPr>
      </w:pPr>
    </w:p>
    <w:p w14:paraId="0126AE28" w14:textId="43F3EBD4" w:rsidR="0062275F" w:rsidRDefault="0062275F">
      <w:pPr>
        <w:rPr>
          <w:rtl/>
        </w:rPr>
      </w:pPr>
    </w:p>
    <w:p w14:paraId="7FAAFFCD" w14:textId="5E245455" w:rsidR="0062275F" w:rsidRDefault="0062275F">
      <w:pPr>
        <w:rPr>
          <w:rtl/>
        </w:rPr>
      </w:pPr>
    </w:p>
    <w:p w14:paraId="374BCAF6" w14:textId="77777777" w:rsidR="00DF169B" w:rsidRPr="006E7DDE" w:rsidRDefault="00DF169B" w:rsidP="00DF169B">
      <w:pPr>
        <w:ind w:firstLine="0"/>
        <w:rPr>
          <w:sz w:val="26"/>
          <w:szCs w:val="26"/>
          <w:rtl/>
        </w:rPr>
      </w:pPr>
    </w:p>
    <w:p w14:paraId="69BB3D62" w14:textId="77777777" w:rsidR="0062275F" w:rsidRPr="006E7DDE" w:rsidRDefault="0062275F" w:rsidP="00AE300B">
      <w:pPr>
        <w:pStyle w:val="HeadHatzaotHok"/>
        <w:rPr>
          <w:sz w:val="26"/>
          <w:rtl/>
        </w:rPr>
      </w:pPr>
      <w:bookmarkStart w:id="2" w:name="MKs1"/>
      <w:r w:rsidRPr="006E7DDE">
        <w:rPr>
          <w:sz w:val="26"/>
          <w:rtl/>
        </w:rPr>
        <w:lastRenderedPageBreak/>
        <w:t xml:space="preserve">הצעת חוק לתיקון פקודת מס הכנסה (זיכוי בגין תרומה לפרויקטים </w:t>
      </w:r>
      <w:r w:rsidRPr="006E7DDE">
        <w:rPr>
          <w:rFonts w:hint="cs"/>
          <w:sz w:val="26"/>
          <w:rtl/>
        </w:rPr>
        <w:t>סביבתיים</w:t>
      </w:r>
      <w:r w:rsidRPr="006E7DDE">
        <w:rPr>
          <w:sz w:val="26"/>
          <w:rtl/>
        </w:rPr>
        <w:t xml:space="preserve">), </w:t>
      </w:r>
      <w:r w:rsidRPr="006E7DDE">
        <w:rPr>
          <w:rFonts w:hint="cs"/>
          <w:sz w:val="26"/>
          <w:rtl/>
        </w:rPr>
        <w:t>התשפ״א-2021</w:t>
      </w:r>
    </w:p>
    <w:p w14:paraId="4F2ED2CF" w14:textId="77777777" w:rsidR="0062275F" w:rsidRPr="006E7DDE" w:rsidRDefault="0062275F" w:rsidP="0062275F">
      <w:pPr>
        <w:pStyle w:val="HeadHatzaotHok"/>
        <w:spacing w:line="240" w:lineRule="auto"/>
        <w:rPr>
          <w:sz w:val="26"/>
          <w:rtl/>
        </w:rPr>
      </w:pPr>
    </w:p>
    <w:tbl>
      <w:tblPr>
        <w:bidiVisual/>
        <w:tblW w:w="9641" w:type="dxa"/>
        <w:tblInd w:w="6"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24"/>
        <w:gridCol w:w="624"/>
        <w:gridCol w:w="624"/>
        <w:gridCol w:w="4650"/>
      </w:tblGrid>
      <w:tr w:rsidR="0062275F" w:rsidRPr="006E7DDE" w14:paraId="5D4AE35B" w14:textId="77777777" w:rsidTr="00750AEC">
        <w:trPr>
          <w:cantSplit/>
          <w:trHeight w:val="60"/>
        </w:trPr>
        <w:tc>
          <w:tcPr>
            <w:tcW w:w="1871" w:type="dxa"/>
            <w:tcBorders>
              <w:top w:val="nil"/>
              <w:left w:val="nil"/>
              <w:bottom w:val="nil"/>
              <w:right w:val="nil"/>
            </w:tcBorders>
          </w:tcPr>
          <w:p w14:paraId="525A32DA" w14:textId="77777777" w:rsidR="0062275F" w:rsidRPr="006E7DDE" w:rsidRDefault="0062275F" w:rsidP="00750AEC">
            <w:pPr>
              <w:pStyle w:val="TableSideHeading"/>
              <w:rPr>
                <w:sz w:val="26"/>
              </w:rPr>
            </w:pPr>
            <w:r w:rsidRPr="006E7DDE">
              <w:rPr>
                <w:sz w:val="26"/>
                <w:rtl/>
              </w:rPr>
              <w:t>הוספת סעיף 46ד</w:t>
            </w:r>
          </w:p>
        </w:tc>
        <w:tc>
          <w:tcPr>
            <w:tcW w:w="624" w:type="dxa"/>
            <w:tcBorders>
              <w:top w:val="nil"/>
              <w:left w:val="nil"/>
              <w:bottom w:val="nil"/>
              <w:right w:val="nil"/>
            </w:tcBorders>
          </w:tcPr>
          <w:p w14:paraId="695DC55C" w14:textId="77777777" w:rsidR="0062275F" w:rsidRPr="006E7DDE" w:rsidRDefault="0062275F" w:rsidP="00750AEC">
            <w:pPr>
              <w:pStyle w:val="TableText"/>
              <w:rPr>
                <w:sz w:val="26"/>
              </w:rPr>
            </w:pPr>
            <w:r w:rsidRPr="006E7DDE">
              <w:rPr>
                <w:sz w:val="26"/>
                <w:rtl/>
              </w:rPr>
              <w:t>1.</w:t>
            </w:r>
          </w:p>
        </w:tc>
        <w:tc>
          <w:tcPr>
            <w:tcW w:w="7146" w:type="dxa"/>
            <w:gridSpan w:val="5"/>
            <w:tcBorders>
              <w:top w:val="nil"/>
              <w:left w:val="nil"/>
              <w:bottom w:val="nil"/>
              <w:right w:val="nil"/>
            </w:tcBorders>
          </w:tcPr>
          <w:p w14:paraId="4D695767" w14:textId="77777777" w:rsidR="0062275F" w:rsidRPr="006E7DDE" w:rsidRDefault="0062275F" w:rsidP="00750AEC">
            <w:pPr>
              <w:pStyle w:val="TableBlock"/>
              <w:rPr>
                <w:sz w:val="26"/>
              </w:rPr>
            </w:pPr>
            <w:r w:rsidRPr="006E7DDE">
              <w:rPr>
                <w:sz w:val="26"/>
                <w:rtl/>
              </w:rPr>
              <w:t>בפקודת מס הכנסה</w:t>
            </w:r>
            <w:r w:rsidRPr="006E7DDE">
              <w:rPr>
                <w:rStyle w:val="FootnoteReference"/>
                <w:sz w:val="26"/>
                <w:rtl/>
              </w:rPr>
              <w:footnoteReference w:id="18"/>
            </w:r>
            <w:r w:rsidRPr="006E7DDE">
              <w:rPr>
                <w:sz w:val="26"/>
                <w:rtl/>
              </w:rPr>
              <w:t>, אחרי סעיף 46ג יבוא:</w:t>
            </w:r>
          </w:p>
        </w:tc>
      </w:tr>
      <w:tr w:rsidR="0062275F" w:rsidRPr="006E7DDE" w14:paraId="0AE9F0FE" w14:textId="77777777" w:rsidTr="00750AEC">
        <w:trPr>
          <w:cantSplit/>
          <w:trHeight w:val="60"/>
        </w:trPr>
        <w:tc>
          <w:tcPr>
            <w:tcW w:w="1871" w:type="dxa"/>
            <w:tcBorders>
              <w:top w:val="nil"/>
              <w:left w:val="nil"/>
              <w:bottom w:val="nil"/>
              <w:right w:val="nil"/>
            </w:tcBorders>
          </w:tcPr>
          <w:p w14:paraId="1D010B34" w14:textId="77777777" w:rsidR="0062275F" w:rsidRPr="006E7DDE" w:rsidRDefault="0062275F" w:rsidP="00750AEC">
            <w:pPr>
              <w:pStyle w:val="TableSideHeading"/>
              <w:rPr>
                <w:sz w:val="26"/>
              </w:rPr>
            </w:pPr>
          </w:p>
        </w:tc>
        <w:tc>
          <w:tcPr>
            <w:tcW w:w="624" w:type="dxa"/>
            <w:tcBorders>
              <w:top w:val="nil"/>
              <w:left w:val="nil"/>
              <w:bottom w:val="nil"/>
              <w:right w:val="nil"/>
            </w:tcBorders>
          </w:tcPr>
          <w:p w14:paraId="4C178801" w14:textId="77777777" w:rsidR="0062275F" w:rsidRPr="006E7DDE" w:rsidRDefault="0062275F" w:rsidP="00750AEC">
            <w:pPr>
              <w:pStyle w:val="TableText"/>
              <w:rPr>
                <w:sz w:val="26"/>
              </w:rPr>
            </w:pPr>
          </w:p>
        </w:tc>
        <w:tc>
          <w:tcPr>
            <w:tcW w:w="1872" w:type="dxa"/>
            <w:gridSpan w:val="3"/>
            <w:tcBorders>
              <w:top w:val="nil"/>
              <w:left w:val="nil"/>
              <w:bottom w:val="nil"/>
              <w:right w:val="nil"/>
            </w:tcBorders>
          </w:tcPr>
          <w:p w14:paraId="3DC97E75" w14:textId="00306D31" w:rsidR="0062275F" w:rsidRPr="006E7DDE" w:rsidRDefault="0062275F" w:rsidP="00750AEC">
            <w:pPr>
              <w:pStyle w:val="TableInnerSideHeading"/>
              <w:rPr>
                <w:sz w:val="26"/>
              </w:rPr>
            </w:pPr>
            <w:r w:rsidRPr="006E7DDE">
              <w:rPr>
                <w:sz w:val="26"/>
                <w:rtl/>
              </w:rPr>
              <w:t xml:space="preserve">"תרומה לפרויקט </w:t>
            </w:r>
            <w:r w:rsidRPr="006E7DDE">
              <w:rPr>
                <w:rFonts w:hint="cs"/>
                <w:sz w:val="26"/>
                <w:rtl/>
              </w:rPr>
              <w:t>סביבתי</w:t>
            </w:r>
            <w:r w:rsidR="00E4673B">
              <w:rPr>
                <w:rFonts w:hint="cs"/>
                <w:sz w:val="26"/>
                <w:rtl/>
              </w:rPr>
              <w:t>״</w:t>
            </w:r>
          </w:p>
        </w:tc>
        <w:tc>
          <w:tcPr>
            <w:tcW w:w="624" w:type="dxa"/>
            <w:tcBorders>
              <w:top w:val="nil"/>
              <w:left w:val="nil"/>
              <w:bottom w:val="nil"/>
              <w:right w:val="nil"/>
            </w:tcBorders>
          </w:tcPr>
          <w:p w14:paraId="76051E26" w14:textId="77777777" w:rsidR="0062275F" w:rsidRPr="006E7DDE" w:rsidRDefault="0062275F" w:rsidP="00750AEC">
            <w:pPr>
              <w:pStyle w:val="TableText"/>
              <w:rPr>
                <w:sz w:val="26"/>
              </w:rPr>
            </w:pPr>
            <w:r w:rsidRPr="006E7DDE">
              <w:rPr>
                <w:sz w:val="26"/>
                <w:rtl/>
              </w:rPr>
              <w:t>46ד.</w:t>
            </w:r>
          </w:p>
        </w:tc>
        <w:tc>
          <w:tcPr>
            <w:tcW w:w="4650" w:type="dxa"/>
            <w:tcBorders>
              <w:top w:val="nil"/>
              <w:left w:val="nil"/>
              <w:bottom w:val="nil"/>
              <w:right w:val="nil"/>
            </w:tcBorders>
          </w:tcPr>
          <w:p w14:paraId="3D629B3B" w14:textId="77777777" w:rsidR="0062275F" w:rsidRPr="006E7DDE" w:rsidRDefault="0062275F" w:rsidP="00750AEC">
            <w:pPr>
              <w:pStyle w:val="TableBlock"/>
              <w:rPr>
                <w:sz w:val="26"/>
              </w:rPr>
            </w:pPr>
            <w:r w:rsidRPr="006E7DDE">
              <w:rPr>
                <w:sz w:val="26"/>
                <w:rtl/>
              </w:rPr>
              <w:t>(א)</w:t>
            </w:r>
            <w:r w:rsidRPr="006E7DDE">
              <w:rPr>
                <w:sz w:val="26"/>
                <w:rtl/>
              </w:rPr>
              <w:tab/>
              <w:t xml:space="preserve">אדם שתרם בשנת מס פלונית סכום העולה על </w:t>
            </w:r>
            <w:r w:rsidRPr="006E7DDE">
              <w:rPr>
                <w:rFonts w:hint="cs"/>
                <w:sz w:val="26"/>
                <w:rtl/>
              </w:rPr>
              <w:t>400</w:t>
            </w:r>
            <w:r w:rsidRPr="006E7DDE">
              <w:rPr>
                <w:sz w:val="26"/>
                <w:rtl/>
              </w:rPr>
              <w:t xml:space="preserve"> שקלים חדשים לפרויקט </w:t>
            </w:r>
            <w:r w:rsidRPr="006E7DDE">
              <w:rPr>
                <w:rFonts w:hint="cs"/>
                <w:sz w:val="26"/>
                <w:rtl/>
              </w:rPr>
              <w:t>סביבתי</w:t>
            </w:r>
            <w:r w:rsidRPr="006E7DDE">
              <w:rPr>
                <w:sz w:val="26"/>
                <w:rtl/>
              </w:rPr>
              <w:t xml:space="preserve">, יזוכה מהמס שהוא חייב בו באותה שנה בשיעור של 30% מסכום התרומה, ובלבד שלא יינתן זיכוי בשנת מס פלונית בשל סכום כולל של תרומות העולה על </w:t>
            </w:r>
            <w:r w:rsidRPr="006E7DDE">
              <w:rPr>
                <w:rFonts w:hint="cs"/>
                <w:sz w:val="26"/>
                <w:rtl/>
              </w:rPr>
              <w:t>4</w:t>
            </w:r>
            <w:r w:rsidRPr="006E7DDE">
              <w:rPr>
                <w:sz w:val="26"/>
                <w:rtl/>
              </w:rPr>
              <w:t>,</w:t>
            </w:r>
            <w:r w:rsidRPr="006E7DDE">
              <w:rPr>
                <w:rFonts w:hint="cs"/>
                <w:sz w:val="26"/>
                <w:rtl/>
              </w:rPr>
              <w:t>208</w:t>
            </w:r>
            <w:r w:rsidRPr="006E7DDE">
              <w:rPr>
                <w:sz w:val="26"/>
                <w:rtl/>
              </w:rPr>
              <w:t>,000 שקלים חדשים (להלן</w:t>
            </w:r>
            <w:r w:rsidRPr="006E7DDE">
              <w:rPr>
                <w:rFonts w:hint="cs"/>
                <w:sz w:val="26"/>
                <w:rtl/>
              </w:rPr>
              <w:t xml:space="preserve"> </w:t>
            </w:r>
            <w:r w:rsidRPr="006E7DDE">
              <w:rPr>
                <w:sz w:val="26"/>
                <w:rtl/>
              </w:rPr>
              <w:t>– התקרה לזיכוי); סכום העולה על התקרה לזיכוי שנתרם באותה שנת מס, יזוכה מהמס בהתאם להוראות סעיף זה בשלוש שנות המס הבאות בזו אחר זו, ובלבד שלא יינתן  זיכוי בכל אחת משלוש שנות המס כאמור, בשל סכום כולל של תרומות העולה על התקרה לזיכוי.</w:t>
            </w:r>
          </w:p>
        </w:tc>
      </w:tr>
      <w:tr w:rsidR="0062275F" w:rsidRPr="006E7DDE" w14:paraId="63BEE1B0" w14:textId="77777777" w:rsidTr="00750AEC">
        <w:trPr>
          <w:cantSplit/>
          <w:trHeight w:val="60"/>
        </w:trPr>
        <w:tc>
          <w:tcPr>
            <w:tcW w:w="1871" w:type="dxa"/>
            <w:tcBorders>
              <w:top w:val="nil"/>
              <w:left w:val="nil"/>
              <w:bottom w:val="nil"/>
              <w:right w:val="nil"/>
            </w:tcBorders>
          </w:tcPr>
          <w:p w14:paraId="4BCEE97C" w14:textId="77777777" w:rsidR="0062275F" w:rsidRPr="006E7DDE" w:rsidRDefault="0062275F" w:rsidP="00750AEC">
            <w:pPr>
              <w:pStyle w:val="TableSideHeading"/>
              <w:rPr>
                <w:sz w:val="26"/>
              </w:rPr>
            </w:pPr>
          </w:p>
        </w:tc>
        <w:tc>
          <w:tcPr>
            <w:tcW w:w="624" w:type="dxa"/>
            <w:tcBorders>
              <w:top w:val="nil"/>
              <w:left w:val="nil"/>
              <w:bottom w:val="nil"/>
              <w:right w:val="nil"/>
            </w:tcBorders>
          </w:tcPr>
          <w:p w14:paraId="5BE01023" w14:textId="77777777" w:rsidR="0062275F" w:rsidRPr="006E7DDE" w:rsidRDefault="0062275F" w:rsidP="00750AEC">
            <w:pPr>
              <w:pStyle w:val="TableText"/>
              <w:rPr>
                <w:sz w:val="26"/>
              </w:rPr>
            </w:pPr>
          </w:p>
        </w:tc>
        <w:tc>
          <w:tcPr>
            <w:tcW w:w="624" w:type="dxa"/>
            <w:tcBorders>
              <w:top w:val="nil"/>
              <w:left w:val="nil"/>
              <w:bottom w:val="nil"/>
              <w:right w:val="nil"/>
            </w:tcBorders>
          </w:tcPr>
          <w:p w14:paraId="3DD8039A" w14:textId="77777777" w:rsidR="0062275F" w:rsidRPr="006E7DDE" w:rsidRDefault="0062275F" w:rsidP="00750AEC">
            <w:pPr>
              <w:pStyle w:val="TableText"/>
              <w:rPr>
                <w:sz w:val="26"/>
              </w:rPr>
            </w:pPr>
          </w:p>
        </w:tc>
        <w:tc>
          <w:tcPr>
            <w:tcW w:w="624" w:type="dxa"/>
            <w:tcBorders>
              <w:top w:val="nil"/>
              <w:left w:val="nil"/>
              <w:bottom w:val="nil"/>
              <w:right w:val="nil"/>
            </w:tcBorders>
          </w:tcPr>
          <w:p w14:paraId="230F1293" w14:textId="77777777" w:rsidR="0062275F" w:rsidRPr="006E7DDE" w:rsidRDefault="0062275F" w:rsidP="00750AEC">
            <w:pPr>
              <w:pStyle w:val="TableText"/>
              <w:rPr>
                <w:sz w:val="26"/>
              </w:rPr>
            </w:pPr>
          </w:p>
        </w:tc>
        <w:tc>
          <w:tcPr>
            <w:tcW w:w="624" w:type="dxa"/>
            <w:tcBorders>
              <w:top w:val="nil"/>
              <w:left w:val="nil"/>
              <w:bottom w:val="nil"/>
              <w:right w:val="nil"/>
            </w:tcBorders>
          </w:tcPr>
          <w:p w14:paraId="14484CE6" w14:textId="77777777" w:rsidR="0062275F" w:rsidRPr="006E7DDE" w:rsidRDefault="0062275F" w:rsidP="00750AEC">
            <w:pPr>
              <w:pStyle w:val="TableText"/>
              <w:rPr>
                <w:sz w:val="26"/>
              </w:rPr>
            </w:pPr>
          </w:p>
        </w:tc>
        <w:tc>
          <w:tcPr>
            <w:tcW w:w="624" w:type="dxa"/>
            <w:tcBorders>
              <w:top w:val="nil"/>
              <w:left w:val="nil"/>
              <w:bottom w:val="nil"/>
              <w:right w:val="nil"/>
            </w:tcBorders>
          </w:tcPr>
          <w:p w14:paraId="34BACF93" w14:textId="77777777" w:rsidR="0062275F" w:rsidRPr="006E7DDE" w:rsidRDefault="0062275F" w:rsidP="00750AEC">
            <w:pPr>
              <w:pStyle w:val="TableText"/>
              <w:rPr>
                <w:sz w:val="26"/>
              </w:rPr>
            </w:pPr>
          </w:p>
        </w:tc>
        <w:tc>
          <w:tcPr>
            <w:tcW w:w="4650" w:type="dxa"/>
            <w:tcBorders>
              <w:top w:val="nil"/>
              <w:left w:val="nil"/>
              <w:bottom w:val="nil"/>
              <w:right w:val="nil"/>
            </w:tcBorders>
          </w:tcPr>
          <w:p w14:paraId="7DBA00D5" w14:textId="77777777" w:rsidR="0062275F" w:rsidRPr="006E7DDE" w:rsidRDefault="0062275F" w:rsidP="00750AEC">
            <w:pPr>
              <w:pStyle w:val="TableBlock"/>
              <w:rPr>
                <w:sz w:val="26"/>
              </w:rPr>
            </w:pPr>
            <w:r w:rsidRPr="006E7DDE">
              <w:rPr>
                <w:sz w:val="26"/>
                <w:rtl/>
              </w:rPr>
              <w:t>(ב)</w:t>
            </w:r>
            <w:r w:rsidRPr="006E7DDE">
              <w:rPr>
                <w:sz w:val="26"/>
                <w:rtl/>
              </w:rPr>
              <w:tab/>
              <w:t xml:space="preserve">בסעיף זה, "פרויקט </w:t>
            </w:r>
            <w:r w:rsidRPr="006E7DDE">
              <w:rPr>
                <w:rFonts w:hint="cs"/>
                <w:sz w:val="26"/>
                <w:rtl/>
              </w:rPr>
              <w:t>סביבתי</w:t>
            </w:r>
            <w:r w:rsidRPr="006E7DDE">
              <w:rPr>
                <w:sz w:val="26"/>
                <w:rtl/>
              </w:rPr>
              <w:t>"</w:t>
            </w:r>
            <w:r w:rsidRPr="006E7DDE">
              <w:rPr>
                <w:rFonts w:hint="cs"/>
                <w:sz w:val="26"/>
                <w:rtl/>
              </w:rPr>
              <w:t xml:space="preserve"> –</w:t>
            </w:r>
            <w:r w:rsidRPr="006E7DDE">
              <w:rPr>
                <w:sz w:val="26"/>
                <w:rtl/>
              </w:rPr>
              <w:t xml:space="preserve"> פרויקט בתחומי סביבה, </w:t>
            </w:r>
            <w:r w:rsidRPr="006E7DDE">
              <w:rPr>
                <w:rFonts w:hint="cs"/>
                <w:sz w:val="26"/>
                <w:rtl/>
              </w:rPr>
              <w:t xml:space="preserve">אקלים, כלכלה דלת פחמן, תעסוקה ירוקה, תזונה ירוקה וחקלאות ירוקה. </w:t>
            </w:r>
          </w:p>
        </w:tc>
      </w:tr>
      <w:tr w:rsidR="0062275F" w:rsidRPr="006E7DDE" w14:paraId="7379AC1B" w14:textId="77777777" w:rsidTr="00750AEC">
        <w:trPr>
          <w:cantSplit/>
          <w:trHeight w:val="60"/>
        </w:trPr>
        <w:tc>
          <w:tcPr>
            <w:tcW w:w="1871" w:type="dxa"/>
            <w:tcBorders>
              <w:top w:val="nil"/>
              <w:left w:val="nil"/>
              <w:bottom w:val="nil"/>
              <w:right w:val="nil"/>
            </w:tcBorders>
          </w:tcPr>
          <w:p w14:paraId="2CE515F3" w14:textId="77777777" w:rsidR="0062275F" w:rsidRPr="006E7DDE" w:rsidRDefault="0062275F" w:rsidP="00750AEC">
            <w:pPr>
              <w:pStyle w:val="TableSideHeading"/>
              <w:rPr>
                <w:sz w:val="26"/>
              </w:rPr>
            </w:pPr>
          </w:p>
        </w:tc>
        <w:tc>
          <w:tcPr>
            <w:tcW w:w="624" w:type="dxa"/>
            <w:tcBorders>
              <w:top w:val="nil"/>
              <w:left w:val="nil"/>
              <w:bottom w:val="nil"/>
              <w:right w:val="nil"/>
            </w:tcBorders>
          </w:tcPr>
          <w:p w14:paraId="6B87CC2A" w14:textId="77777777" w:rsidR="0062275F" w:rsidRPr="006E7DDE" w:rsidRDefault="0062275F" w:rsidP="00750AEC">
            <w:pPr>
              <w:pStyle w:val="TableText"/>
              <w:rPr>
                <w:sz w:val="26"/>
              </w:rPr>
            </w:pPr>
          </w:p>
        </w:tc>
        <w:tc>
          <w:tcPr>
            <w:tcW w:w="624" w:type="dxa"/>
            <w:tcBorders>
              <w:top w:val="nil"/>
              <w:left w:val="nil"/>
              <w:bottom w:val="nil"/>
              <w:right w:val="nil"/>
            </w:tcBorders>
          </w:tcPr>
          <w:p w14:paraId="53B04CA3" w14:textId="77777777" w:rsidR="0062275F" w:rsidRPr="006E7DDE" w:rsidRDefault="0062275F" w:rsidP="00750AEC">
            <w:pPr>
              <w:pStyle w:val="TableText"/>
              <w:rPr>
                <w:sz w:val="26"/>
              </w:rPr>
            </w:pPr>
          </w:p>
        </w:tc>
        <w:tc>
          <w:tcPr>
            <w:tcW w:w="624" w:type="dxa"/>
            <w:tcBorders>
              <w:top w:val="nil"/>
              <w:left w:val="nil"/>
              <w:bottom w:val="nil"/>
              <w:right w:val="nil"/>
            </w:tcBorders>
          </w:tcPr>
          <w:p w14:paraId="2D78D9EA" w14:textId="77777777" w:rsidR="0062275F" w:rsidRPr="006E7DDE" w:rsidRDefault="0062275F" w:rsidP="00750AEC">
            <w:pPr>
              <w:pStyle w:val="TableText"/>
              <w:rPr>
                <w:sz w:val="26"/>
              </w:rPr>
            </w:pPr>
          </w:p>
        </w:tc>
        <w:tc>
          <w:tcPr>
            <w:tcW w:w="624" w:type="dxa"/>
            <w:tcBorders>
              <w:top w:val="nil"/>
              <w:left w:val="nil"/>
              <w:bottom w:val="nil"/>
              <w:right w:val="nil"/>
            </w:tcBorders>
          </w:tcPr>
          <w:p w14:paraId="104CB18A" w14:textId="77777777" w:rsidR="0062275F" w:rsidRPr="006E7DDE" w:rsidRDefault="0062275F" w:rsidP="00750AEC">
            <w:pPr>
              <w:pStyle w:val="TableText"/>
              <w:rPr>
                <w:sz w:val="26"/>
              </w:rPr>
            </w:pPr>
          </w:p>
        </w:tc>
        <w:tc>
          <w:tcPr>
            <w:tcW w:w="624" w:type="dxa"/>
            <w:tcBorders>
              <w:top w:val="nil"/>
              <w:left w:val="nil"/>
              <w:bottom w:val="nil"/>
              <w:right w:val="nil"/>
            </w:tcBorders>
          </w:tcPr>
          <w:p w14:paraId="6943B234" w14:textId="77777777" w:rsidR="0062275F" w:rsidRPr="006E7DDE" w:rsidRDefault="0062275F" w:rsidP="00750AEC">
            <w:pPr>
              <w:pStyle w:val="TableText"/>
              <w:rPr>
                <w:sz w:val="26"/>
              </w:rPr>
            </w:pPr>
          </w:p>
        </w:tc>
        <w:tc>
          <w:tcPr>
            <w:tcW w:w="4650" w:type="dxa"/>
            <w:tcBorders>
              <w:top w:val="nil"/>
              <w:left w:val="nil"/>
              <w:bottom w:val="nil"/>
              <w:right w:val="nil"/>
            </w:tcBorders>
          </w:tcPr>
          <w:p w14:paraId="65186222" w14:textId="77777777" w:rsidR="0062275F" w:rsidRPr="006E7DDE" w:rsidRDefault="0062275F" w:rsidP="00750AEC">
            <w:pPr>
              <w:pStyle w:val="TableBlock"/>
              <w:rPr>
                <w:sz w:val="26"/>
              </w:rPr>
            </w:pPr>
            <w:r w:rsidRPr="006E7DDE">
              <w:rPr>
                <w:sz w:val="26"/>
                <w:rtl/>
              </w:rPr>
              <w:t>(ג)</w:t>
            </w:r>
            <w:r w:rsidRPr="006E7DDE">
              <w:rPr>
                <w:sz w:val="26"/>
                <w:rtl/>
              </w:rPr>
              <w:tab/>
              <w:t>שר האוצר רשאי, באישור ועדת הכספים של הכנסת, לקבוע תחומים נוספים אשר יזוכו ממס לפי סעיף קטן (א)."</w:t>
            </w:r>
            <w:r w:rsidRPr="006E7DDE">
              <w:rPr>
                <w:rFonts w:hint="cs"/>
                <w:sz w:val="26"/>
                <w:rtl/>
              </w:rPr>
              <w:t>.</w:t>
            </w:r>
          </w:p>
        </w:tc>
      </w:tr>
    </w:tbl>
    <w:p w14:paraId="1DCC8E62" w14:textId="77777777" w:rsidR="0062275F" w:rsidRPr="006E7DDE" w:rsidRDefault="0062275F" w:rsidP="0062275F">
      <w:pPr>
        <w:pStyle w:val="HeadDivreiHesber"/>
        <w:rPr>
          <w:sz w:val="26"/>
          <w:rtl/>
        </w:rPr>
      </w:pPr>
    </w:p>
    <w:p w14:paraId="4B7F01C5" w14:textId="77777777" w:rsidR="0062275F" w:rsidRPr="006E7DDE" w:rsidRDefault="0062275F" w:rsidP="0062275F">
      <w:pPr>
        <w:pStyle w:val="HeadDivreiHesber"/>
        <w:rPr>
          <w:sz w:val="26"/>
          <w:rtl/>
        </w:rPr>
      </w:pPr>
      <w:r w:rsidRPr="006E7DDE">
        <w:rPr>
          <w:sz w:val="26"/>
          <w:rtl/>
        </w:rPr>
        <w:t>דברי הסבר</w:t>
      </w:r>
    </w:p>
    <w:p w14:paraId="6273B6EF" w14:textId="02F377D6" w:rsidR="0062275F" w:rsidRDefault="0062275F" w:rsidP="009D5D8F">
      <w:pPr>
        <w:pStyle w:val="Hesber"/>
        <w:ind w:firstLine="0"/>
        <w:rPr>
          <w:sz w:val="26"/>
          <w:rtl/>
        </w:rPr>
      </w:pPr>
      <w:r w:rsidRPr="006E7DDE">
        <w:rPr>
          <w:sz w:val="26"/>
          <w:rtl/>
        </w:rPr>
        <w:t>מטרת הצעת</w:t>
      </w:r>
      <w:r w:rsidRPr="006E7DDE">
        <w:rPr>
          <w:sz w:val="26"/>
        </w:rPr>
        <w:t xml:space="preserve"> </w:t>
      </w:r>
      <w:r w:rsidRPr="006E7DDE">
        <w:rPr>
          <w:sz w:val="26"/>
          <w:rtl/>
        </w:rPr>
        <w:t xml:space="preserve">חוק זו היא לעודד את המגזר הפרטי לתרום לפרויקטים </w:t>
      </w:r>
      <w:r w:rsidR="009D5D8F">
        <w:rPr>
          <w:rFonts w:hint="cs"/>
          <w:sz w:val="26"/>
          <w:rtl/>
        </w:rPr>
        <w:t>סביבתיים</w:t>
      </w:r>
      <w:r w:rsidRPr="006E7DDE">
        <w:rPr>
          <w:sz w:val="26"/>
          <w:rtl/>
        </w:rPr>
        <w:t xml:space="preserve"> ולהגדיל את מעורבותו במטרות </w:t>
      </w:r>
      <w:r w:rsidRPr="006E7DDE">
        <w:rPr>
          <w:rFonts w:hint="cs"/>
          <w:sz w:val="26"/>
          <w:rtl/>
        </w:rPr>
        <w:t>סביבתיות</w:t>
      </w:r>
      <w:r w:rsidRPr="006E7DDE">
        <w:rPr>
          <w:sz w:val="26"/>
          <w:rtl/>
        </w:rPr>
        <w:t>, המגבירות את רווחת כלל האוכלוסייה</w:t>
      </w:r>
      <w:r w:rsidRPr="006E7DDE">
        <w:rPr>
          <w:rFonts w:hint="cs"/>
          <w:sz w:val="26"/>
          <w:rtl/>
        </w:rPr>
        <w:t xml:space="preserve"> ובולמות את התקדמותו של משבר האקלים</w:t>
      </w:r>
      <w:r w:rsidRPr="006E7DDE">
        <w:rPr>
          <w:sz w:val="26"/>
          <w:rtl/>
        </w:rPr>
        <w:t>, באמצעות מתן זיכוי חלקי ממס הכנסה שערכו תלוי בסכום התרומה</w:t>
      </w:r>
      <w:r w:rsidR="00E96352">
        <w:rPr>
          <w:rFonts w:hint="cs"/>
          <w:sz w:val="26"/>
          <w:rtl/>
        </w:rPr>
        <w:t xml:space="preserve"> שניתנה</w:t>
      </w:r>
      <w:r w:rsidRPr="006E7DDE">
        <w:rPr>
          <w:sz w:val="26"/>
          <w:rtl/>
        </w:rPr>
        <w:t>.</w:t>
      </w:r>
      <w:bookmarkEnd w:id="2"/>
    </w:p>
    <w:p w14:paraId="743EBA1D" w14:textId="77777777" w:rsidR="008918CC" w:rsidRPr="00D23B84" w:rsidRDefault="008918CC" w:rsidP="008918CC">
      <w:pPr>
        <w:pStyle w:val="Hesber"/>
        <w:ind w:firstLine="0"/>
        <w:rPr>
          <w:rtl/>
        </w:rPr>
      </w:pPr>
      <w:r>
        <w:rPr>
          <w:rFonts w:hint="cs"/>
          <w:rtl/>
        </w:rPr>
        <w:t xml:space="preserve">הצעת חוק זו הוכנה בצוות מנגנונים כלכליים של קליניקת הכנסת בפקולטה למשפטים של אוניברסיטת תל אביב ע״י אור ברק </w:t>
      </w:r>
      <w:proofErr w:type="spellStart"/>
      <w:r>
        <w:rPr>
          <w:rFonts w:hint="cs"/>
          <w:rtl/>
        </w:rPr>
        <w:t>ונאדין</w:t>
      </w:r>
      <w:proofErr w:type="spellEnd"/>
      <w:r>
        <w:rPr>
          <w:rFonts w:hint="cs"/>
          <w:rtl/>
        </w:rPr>
        <w:t xml:space="preserve"> </w:t>
      </w:r>
      <w:proofErr w:type="spellStart"/>
      <w:r>
        <w:rPr>
          <w:rFonts w:hint="cs"/>
          <w:rtl/>
        </w:rPr>
        <w:t>ותד</w:t>
      </w:r>
      <w:proofErr w:type="spellEnd"/>
      <w:r>
        <w:rPr>
          <w:rFonts w:hint="cs"/>
          <w:rtl/>
        </w:rPr>
        <w:t xml:space="preserve">.  </w:t>
      </w:r>
    </w:p>
    <w:p w14:paraId="60B70680" w14:textId="77777777" w:rsidR="006E7DDE" w:rsidRDefault="006E7DDE" w:rsidP="008A1A73">
      <w:pPr>
        <w:pStyle w:val="Hesber"/>
        <w:ind w:firstLine="0"/>
        <w:rPr>
          <w:rtl/>
        </w:rPr>
      </w:pPr>
    </w:p>
    <w:p w14:paraId="6BF7155B" w14:textId="0EB9298B" w:rsidR="00C9328F" w:rsidRPr="00F67051" w:rsidRDefault="00C9328F" w:rsidP="00C9328F">
      <w:pPr>
        <w:pStyle w:val="HeadHatzaotHok"/>
        <w:rPr>
          <w:rtl/>
        </w:rPr>
      </w:pPr>
      <w:r>
        <w:rPr>
          <w:rFonts w:hint="cs"/>
          <w:rtl/>
        </w:rPr>
        <w:lastRenderedPageBreak/>
        <w:t>הצעת חוק אחריות סביבתית (חובת דיווח), התשפ״א-2021</w:t>
      </w:r>
    </w:p>
    <w:p w14:paraId="00FB3C3F" w14:textId="77777777" w:rsidR="00C9328F" w:rsidRDefault="00C9328F" w:rsidP="00C9328F">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19"/>
      </w:tblGrid>
      <w:tr w:rsidR="00C9328F" w:rsidRPr="00911189" w14:paraId="344BC621" w14:textId="77777777" w:rsidTr="00E619CE">
        <w:trPr>
          <w:cantSplit/>
        </w:trPr>
        <w:tc>
          <w:tcPr>
            <w:tcW w:w="1871" w:type="dxa"/>
          </w:tcPr>
          <w:p w14:paraId="4142FDDA" w14:textId="77777777" w:rsidR="00C9328F" w:rsidRPr="00911189" w:rsidRDefault="00C9328F" w:rsidP="00E619CE">
            <w:pPr>
              <w:pStyle w:val="TableSideHeading"/>
              <w:keepLines w:val="0"/>
              <w:rPr>
                <w:sz w:val="26"/>
              </w:rPr>
            </w:pPr>
            <w:r w:rsidRPr="00911189">
              <w:rPr>
                <w:rFonts w:hint="cs"/>
                <w:sz w:val="26"/>
                <w:rtl/>
              </w:rPr>
              <w:t>הגדרות</w:t>
            </w:r>
          </w:p>
        </w:tc>
        <w:tc>
          <w:tcPr>
            <w:tcW w:w="624" w:type="dxa"/>
          </w:tcPr>
          <w:p w14:paraId="42115A2E" w14:textId="77777777" w:rsidR="00C9328F" w:rsidRPr="00911189" w:rsidRDefault="00C9328F" w:rsidP="00E619CE">
            <w:pPr>
              <w:pStyle w:val="TableText"/>
              <w:keepLines w:val="0"/>
              <w:rPr>
                <w:sz w:val="26"/>
              </w:rPr>
            </w:pPr>
            <w:r w:rsidRPr="00911189">
              <w:rPr>
                <w:rFonts w:hint="cs"/>
                <w:sz w:val="26"/>
                <w:rtl/>
              </w:rPr>
              <w:t>1.</w:t>
            </w:r>
          </w:p>
        </w:tc>
        <w:tc>
          <w:tcPr>
            <w:tcW w:w="7143" w:type="dxa"/>
            <w:gridSpan w:val="2"/>
          </w:tcPr>
          <w:p w14:paraId="2EBD6EAE" w14:textId="77777777" w:rsidR="00C9328F" w:rsidRPr="008A1404" w:rsidRDefault="00C9328F" w:rsidP="00E619CE">
            <w:pPr>
              <w:pStyle w:val="TableBlockOutdent"/>
            </w:pPr>
            <w:r w:rsidRPr="008A1404">
              <w:rPr>
                <w:rFonts w:hint="cs"/>
                <w:rtl/>
              </w:rPr>
              <w:t>בחוק זה –</w:t>
            </w:r>
          </w:p>
        </w:tc>
      </w:tr>
      <w:tr w:rsidR="00C9328F" w:rsidRPr="00911189" w14:paraId="7C3E2AE0" w14:textId="77777777" w:rsidTr="00E619CE">
        <w:trPr>
          <w:cantSplit/>
        </w:trPr>
        <w:tc>
          <w:tcPr>
            <w:tcW w:w="1871" w:type="dxa"/>
          </w:tcPr>
          <w:p w14:paraId="59FCAD50" w14:textId="77777777" w:rsidR="00C9328F" w:rsidRPr="00911189" w:rsidRDefault="00C9328F" w:rsidP="00E619CE">
            <w:pPr>
              <w:pStyle w:val="TableSideHeading"/>
              <w:keepLines w:val="0"/>
              <w:rPr>
                <w:sz w:val="26"/>
                <w:rtl/>
              </w:rPr>
            </w:pPr>
          </w:p>
        </w:tc>
        <w:tc>
          <w:tcPr>
            <w:tcW w:w="624" w:type="dxa"/>
          </w:tcPr>
          <w:p w14:paraId="4D91C149" w14:textId="77777777" w:rsidR="00C9328F" w:rsidRPr="00911189" w:rsidRDefault="00C9328F" w:rsidP="00E619CE">
            <w:pPr>
              <w:pStyle w:val="TableText"/>
              <w:keepLines w:val="0"/>
              <w:rPr>
                <w:sz w:val="26"/>
                <w:rtl/>
              </w:rPr>
            </w:pPr>
          </w:p>
        </w:tc>
        <w:tc>
          <w:tcPr>
            <w:tcW w:w="7143" w:type="dxa"/>
            <w:gridSpan w:val="2"/>
          </w:tcPr>
          <w:p w14:paraId="6BB0E495" w14:textId="77777777" w:rsidR="00C9328F" w:rsidRPr="008A1404" w:rsidRDefault="00C9328F" w:rsidP="00E619CE">
            <w:pPr>
              <w:pStyle w:val="TableBlockOutdent"/>
              <w:rPr>
                <w:rtl/>
              </w:rPr>
            </w:pPr>
            <w:r w:rsidRPr="008A1404">
              <w:rPr>
                <w:rFonts w:hint="cs"/>
                <w:rtl/>
              </w:rPr>
              <w:t xml:space="preserve">"חברה ממשלתית" </w:t>
            </w:r>
            <w:r w:rsidRPr="008A1404">
              <w:rPr>
                <w:rtl/>
              </w:rPr>
              <w:t>–</w:t>
            </w:r>
            <w:r w:rsidRPr="008A1404">
              <w:rPr>
                <w:rFonts w:hint="cs"/>
                <w:rtl/>
              </w:rPr>
              <w:t xml:space="preserve"> כהגדרתה בחוק החברות</w:t>
            </w:r>
            <w:r>
              <w:rPr>
                <w:rFonts w:hint="cs"/>
                <w:rtl/>
              </w:rPr>
              <w:t>,</w:t>
            </w:r>
            <w:r w:rsidRPr="008A1404">
              <w:rPr>
                <w:rFonts w:hint="cs"/>
                <w:rtl/>
              </w:rPr>
              <w:t xml:space="preserve"> </w:t>
            </w:r>
            <w:proofErr w:type="spellStart"/>
            <w:r w:rsidRPr="008A1404">
              <w:rPr>
                <w:rFonts w:hint="cs"/>
                <w:rtl/>
              </w:rPr>
              <w:t>התשנ"ט</w:t>
            </w:r>
            <w:proofErr w:type="spellEnd"/>
            <w:r w:rsidRPr="008A1404">
              <w:rPr>
                <w:rtl/>
              </w:rPr>
              <w:t>–</w:t>
            </w:r>
            <w:r w:rsidRPr="008A1404">
              <w:rPr>
                <w:rFonts w:hint="cs"/>
                <w:rtl/>
              </w:rPr>
              <w:t>1999</w:t>
            </w:r>
            <w:r w:rsidRPr="00014BDD">
              <w:rPr>
                <w:szCs w:val="20"/>
                <w:rtl/>
              </w:rPr>
              <w:footnoteReference w:id="19"/>
            </w:r>
            <w:r w:rsidRPr="008A1404">
              <w:rPr>
                <w:rFonts w:hint="cs"/>
                <w:rtl/>
              </w:rPr>
              <w:t>;</w:t>
            </w:r>
          </w:p>
        </w:tc>
      </w:tr>
      <w:tr w:rsidR="00C9328F" w:rsidRPr="00911189" w14:paraId="115FA39B" w14:textId="77777777" w:rsidTr="00E619CE">
        <w:trPr>
          <w:cantSplit/>
        </w:trPr>
        <w:tc>
          <w:tcPr>
            <w:tcW w:w="1871" w:type="dxa"/>
          </w:tcPr>
          <w:p w14:paraId="77FFD23A" w14:textId="77777777" w:rsidR="00C9328F" w:rsidRPr="00911189" w:rsidRDefault="00C9328F" w:rsidP="00E619CE">
            <w:pPr>
              <w:pStyle w:val="TableSideHeading"/>
              <w:keepLines w:val="0"/>
              <w:rPr>
                <w:sz w:val="26"/>
                <w:rtl/>
              </w:rPr>
            </w:pPr>
          </w:p>
        </w:tc>
        <w:tc>
          <w:tcPr>
            <w:tcW w:w="624" w:type="dxa"/>
          </w:tcPr>
          <w:p w14:paraId="2C30E8D8" w14:textId="77777777" w:rsidR="00C9328F" w:rsidRPr="00911189" w:rsidRDefault="00C9328F" w:rsidP="00E619CE">
            <w:pPr>
              <w:pStyle w:val="TableText"/>
              <w:keepLines w:val="0"/>
              <w:rPr>
                <w:sz w:val="26"/>
                <w:rtl/>
              </w:rPr>
            </w:pPr>
          </w:p>
        </w:tc>
        <w:tc>
          <w:tcPr>
            <w:tcW w:w="7143" w:type="dxa"/>
            <w:gridSpan w:val="2"/>
          </w:tcPr>
          <w:p w14:paraId="6B615DFD" w14:textId="77777777" w:rsidR="00C9328F" w:rsidRPr="008A1404" w:rsidRDefault="00C9328F" w:rsidP="00E619CE">
            <w:pPr>
              <w:pStyle w:val="TableBlockOutdent"/>
              <w:rPr>
                <w:rtl/>
              </w:rPr>
            </w:pPr>
            <w:r w:rsidRPr="008A1404">
              <w:rPr>
                <w:rtl/>
              </w:rPr>
              <w:t>"</w:t>
            </w:r>
            <w:r w:rsidRPr="008A1404">
              <w:rPr>
                <w:rFonts w:hint="cs"/>
                <w:rtl/>
              </w:rPr>
              <w:t>חברה</w:t>
            </w:r>
            <w:r w:rsidRPr="008A1404">
              <w:rPr>
                <w:rtl/>
              </w:rPr>
              <w:t xml:space="preserve"> </w:t>
            </w:r>
            <w:r w:rsidRPr="008A1404">
              <w:rPr>
                <w:rFonts w:hint="cs"/>
                <w:rtl/>
              </w:rPr>
              <w:t>ציבורית</w:t>
            </w:r>
            <w:r w:rsidRPr="008A1404">
              <w:rPr>
                <w:rtl/>
              </w:rPr>
              <w:t xml:space="preserve">" – </w:t>
            </w:r>
            <w:r w:rsidRPr="008A1404">
              <w:rPr>
                <w:rFonts w:hint="cs"/>
                <w:rtl/>
              </w:rPr>
              <w:t>כהגדרתה בחוק החברות</w:t>
            </w:r>
            <w:r>
              <w:rPr>
                <w:rFonts w:hint="cs"/>
                <w:rtl/>
              </w:rPr>
              <w:t>,</w:t>
            </w:r>
            <w:r w:rsidRPr="008A1404">
              <w:rPr>
                <w:rFonts w:hint="cs"/>
                <w:rtl/>
              </w:rPr>
              <w:t xml:space="preserve"> </w:t>
            </w:r>
            <w:proofErr w:type="spellStart"/>
            <w:r w:rsidRPr="008A1404">
              <w:rPr>
                <w:rFonts w:hint="cs"/>
                <w:rtl/>
              </w:rPr>
              <w:t>התשנ"ט</w:t>
            </w:r>
            <w:proofErr w:type="spellEnd"/>
            <w:r w:rsidRPr="008A1404">
              <w:rPr>
                <w:rtl/>
              </w:rPr>
              <w:t>–</w:t>
            </w:r>
            <w:r w:rsidRPr="008A1404">
              <w:rPr>
                <w:rFonts w:hint="cs"/>
                <w:rtl/>
              </w:rPr>
              <w:t>1999;</w:t>
            </w:r>
          </w:p>
        </w:tc>
      </w:tr>
      <w:tr w:rsidR="00C9328F" w:rsidRPr="00911189" w14:paraId="1E980EFE" w14:textId="77777777" w:rsidTr="00E619CE">
        <w:trPr>
          <w:cantSplit/>
        </w:trPr>
        <w:tc>
          <w:tcPr>
            <w:tcW w:w="1871" w:type="dxa"/>
          </w:tcPr>
          <w:p w14:paraId="1D142BFB" w14:textId="77777777" w:rsidR="00C9328F" w:rsidRPr="00911189" w:rsidRDefault="00C9328F" w:rsidP="00E619CE">
            <w:pPr>
              <w:pStyle w:val="TableSideHeading"/>
              <w:keepLines w:val="0"/>
              <w:rPr>
                <w:sz w:val="26"/>
                <w:rtl/>
              </w:rPr>
            </w:pPr>
          </w:p>
        </w:tc>
        <w:tc>
          <w:tcPr>
            <w:tcW w:w="624" w:type="dxa"/>
          </w:tcPr>
          <w:p w14:paraId="29E7F847" w14:textId="77777777" w:rsidR="00C9328F" w:rsidRPr="00911189" w:rsidRDefault="00C9328F" w:rsidP="00E619CE">
            <w:pPr>
              <w:pStyle w:val="TableText"/>
              <w:keepLines w:val="0"/>
              <w:rPr>
                <w:sz w:val="26"/>
                <w:rtl/>
              </w:rPr>
            </w:pPr>
          </w:p>
        </w:tc>
        <w:tc>
          <w:tcPr>
            <w:tcW w:w="7143" w:type="dxa"/>
            <w:gridSpan w:val="2"/>
          </w:tcPr>
          <w:p w14:paraId="432C8932" w14:textId="77777777" w:rsidR="00C9328F" w:rsidRPr="008A1404" w:rsidRDefault="00C9328F" w:rsidP="00E619CE">
            <w:pPr>
              <w:pStyle w:val="TableBlockOutdent"/>
              <w:rPr>
                <w:rtl/>
              </w:rPr>
            </w:pPr>
            <w:r w:rsidRPr="008A1404">
              <w:rPr>
                <w:rFonts w:hint="cs"/>
                <w:rtl/>
              </w:rPr>
              <w:t xml:space="preserve">"חברה פרטית" </w:t>
            </w:r>
            <w:r w:rsidRPr="008A1404">
              <w:rPr>
                <w:rtl/>
              </w:rPr>
              <w:t>–</w:t>
            </w:r>
            <w:r w:rsidRPr="008A1404">
              <w:rPr>
                <w:rFonts w:hint="cs"/>
                <w:rtl/>
              </w:rPr>
              <w:t xml:space="preserve"> חברה שאינה חברה ציבורית; </w:t>
            </w:r>
          </w:p>
        </w:tc>
      </w:tr>
      <w:tr w:rsidR="00C9328F" w:rsidRPr="00911189" w14:paraId="2F521183" w14:textId="77777777" w:rsidTr="00E619CE">
        <w:trPr>
          <w:cantSplit/>
        </w:trPr>
        <w:tc>
          <w:tcPr>
            <w:tcW w:w="1871" w:type="dxa"/>
          </w:tcPr>
          <w:p w14:paraId="4A83F938" w14:textId="77777777" w:rsidR="00C9328F" w:rsidRPr="00911189" w:rsidRDefault="00C9328F" w:rsidP="00E619CE">
            <w:pPr>
              <w:pStyle w:val="TableSideHeading"/>
              <w:keepLines w:val="0"/>
              <w:rPr>
                <w:sz w:val="26"/>
                <w:rtl/>
              </w:rPr>
            </w:pPr>
          </w:p>
        </w:tc>
        <w:tc>
          <w:tcPr>
            <w:tcW w:w="624" w:type="dxa"/>
          </w:tcPr>
          <w:p w14:paraId="43FCB61B" w14:textId="77777777" w:rsidR="00C9328F" w:rsidRPr="00911189" w:rsidRDefault="00C9328F" w:rsidP="00E619CE">
            <w:pPr>
              <w:pStyle w:val="TableText"/>
              <w:keepLines w:val="0"/>
              <w:rPr>
                <w:sz w:val="26"/>
                <w:rtl/>
              </w:rPr>
            </w:pPr>
          </w:p>
        </w:tc>
        <w:tc>
          <w:tcPr>
            <w:tcW w:w="7143" w:type="dxa"/>
            <w:gridSpan w:val="2"/>
          </w:tcPr>
          <w:p w14:paraId="50E2FEB4" w14:textId="77777777" w:rsidR="00C9328F" w:rsidRPr="008A1404" w:rsidRDefault="00C9328F" w:rsidP="00E619CE">
            <w:pPr>
              <w:pStyle w:val="TableBlockOutdent"/>
              <w:rPr>
                <w:rtl/>
              </w:rPr>
            </w:pPr>
            <w:r w:rsidRPr="008A1404">
              <w:rPr>
                <w:rFonts w:hint="cs"/>
                <w:rtl/>
              </w:rPr>
              <w:t>"חברה גדולה" – חברה שמתקיימים בה כל אלה:</w:t>
            </w:r>
          </w:p>
        </w:tc>
      </w:tr>
      <w:tr w:rsidR="00C9328F" w:rsidRPr="00911189" w14:paraId="6CB0BD99" w14:textId="77777777" w:rsidTr="00E619CE">
        <w:trPr>
          <w:cantSplit/>
        </w:trPr>
        <w:tc>
          <w:tcPr>
            <w:tcW w:w="1871" w:type="dxa"/>
          </w:tcPr>
          <w:p w14:paraId="7A76AB6C" w14:textId="77777777" w:rsidR="00C9328F" w:rsidRPr="00911189" w:rsidRDefault="00C9328F" w:rsidP="00E619CE">
            <w:pPr>
              <w:pStyle w:val="TableSideHeading"/>
              <w:keepLines w:val="0"/>
              <w:rPr>
                <w:sz w:val="26"/>
                <w:rtl/>
              </w:rPr>
            </w:pPr>
          </w:p>
        </w:tc>
        <w:tc>
          <w:tcPr>
            <w:tcW w:w="624" w:type="dxa"/>
          </w:tcPr>
          <w:p w14:paraId="359B5076" w14:textId="77777777" w:rsidR="00C9328F" w:rsidRPr="00911189" w:rsidRDefault="00C9328F" w:rsidP="00E619CE">
            <w:pPr>
              <w:pStyle w:val="TableText"/>
              <w:keepLines w:val="0"/>
              <w:rPr>
                <w:sz w:val="26"/>
                <w:rtl/>
              </w:rPr>
            </w:pPr>
          </w:p>
        </w:tc>
        <w:tc>
          <w:tcPr>
            <w:tcW w:w="7143" w:type="dxa"/>
            <w:gridSpan w:val="2"/>
          </w:tcPr>
          <w:p w14:paraId="226A8D05" w14:textId="77777777" w:rsidR="00C9328F" w:rsidRPr="008A1404" w:rsidRDefault="00C9328F" w:rsidP="00E619CE">
            <w:pPr>
              <w:pStyle w:val="TableBlock"/>
              <w:rPr>
                <w:rtl/>
              </w:rPr>
            </w:pPr>
            <w:r>
              <w:rPr>
                <w:rFonts w:hint="cs"/>
                <w:rtl/>
              </w:rPr>
              <w:t>(1)</w:t>
            </w:r>
            <w:r>
              <w:rPr>
                <w:rtl/>
              </w:rPr>
              <w:tab/>
            </w:r>
            <w:r>
              <w:rPr>
                <w:rFonts w:hint="cs"/>
                <w:rtl/>
              </w:rPr>
              <w:t>החברה מעסיקה למעלה מ-</w:t>
            </w:r>
            <w:r w:rsidRPr="008A1404">
              <w:rPr>
                <w:rFonts w:hint="cs"/>
                <w:rtl/>
              </w:rPr>
              <w:t>250 עובדים;</w:t>
            </w:r>
          </w:p>
        </w:tc>
      </w:tr>
      <w:tr w:rsidR="00C9328F" w:rsidRPr="00911189" w14:paraId="122BE50F" w14:textId="77777777" w:rsidTr="00E619CE">
        <w:trPr>
          <w:cantSplit/>
        </w:trPr>
        <w:tc>
          <w:tcPr>
            <w:tcW w:w="1871" w:type="dxa"/>
          </w:tcPr>
          <w:p w14:paraId="53668D0B" w14:textId="77777777" w:rsidR="00C9328F" w:rsidRDefault="00C9328F" w:rsidP="00E619CE">
            <w:pPr>
              <w:pStyle w:val="TableSideHeading"/>
              <w:keepLines w:val="0"/>
              <w:rPr>
                <w:sz w:val="26"/>
                <w:rtl/>
              </w:rPr>
            </w:pPr>
          </w:p>
        </w:tc>
        <w:tc>
          <w:tcPr>
            <w:tcW w:w="624" w:type="dxa"/>
          </w:tcPr>
          <w:p w14:paraId="203DBF95" w14:textId="77777777" w:rsidR="00C9328F" w:rsidRPr="00911189" w:rsidRDefault="00C9328F" w:rsidP="00E619CE">
            <w:pPr>
              <w:pStyle w:val="TableText"/>
              <w:rPr>
                <w:rtl/>
              </w:rPr>
            </w:pPr>
          </w:p>
        </w:tc>
        <w:tc>
          <w:tcPr>
            <w:tcW w:w="7143" w:type="dxa"/>
            <w:gridSpan w:val="2"/>
          </w:tcPr>
          <w:p w14:paraId="7BEB6FC5" w14:textId="77777777" w:rsidR="00C9328F" w:rsidRDefault="00C9328F" w:rsidP="00E619CE">
            <w:pPr>
              <w:pStyle w:val="TableBlock"/>
              <w:rPr>
                <w:rtl/>
              </w:rPr>
            </w:pPr>
            <w:r>
              <w:rPr>
                <w:rFonts w:hint="cs"/>
                <w:rtl/>
              </w:rPr>
              <w:t>(2)</w:t>
            </w:r>
            <w:r>
              <w:rPr>
                <w:rtl/>
              </w:rPr>
              <w:tab/>
            </w:r>
            <w:r w:rsidRPr="008A1404">
              <w:rPr>
                <w:rFonts w:hint="cs"/>
                <w:rtl/>
              </w:rPr>
              <w:t>מחזור העסקים השנתי של החברה עומד על 15 מיליון שקלים חדשים לפחות;</w:t>
            </w:r>
          </w:p>
        </w:tc>
      </w:tr>
      <w:tr w:rsidR="00C9328F" w:rsidRPr="00911189" w14:paraId="4FCDD33F" w14:textId="77777777" w:rsidTr="00E619CE">
        <w:trPr>
          <w:cantSplit/>
        </w:trPr>
        <w:tc>
          <w:tcPr>
            <w:tcW w:w="1871" w:type="dxa"/>
          </w:tcPr>
          <w:p w14:paraId="38FF3A1B" w14:textId="77777777" w:rsidR="00C9328F" w:rsidRPr="00911189" w:rsidRDefault="00C9328F" w:rsidP="00E619CE">
            <w:pPr>
              <w:pStyle w:val="TableSideHeading"/>
              <w:keepLines w:val="0"/>
              <w:rPr>
                <w:sz w:val="26"/>
                <w:rtl/>
              </w:rPr>
            </w:pPr>
          </w:p>
        </w:tc>
        <w:tc>
          <w:tcPr>
            <w:tcW w:w="624" w:type="dxa"/>
          </w:tcPr>
          <w:p w14:paraId="3264E67D" w14:textId="77777777" w:rsidR="00C9328F" w:rsidRPr="00911189" w:rsidRDefault="00C9328F" w:rsidP="00E619CE">
            <w:pPr>
              <w:pStyle w:val="TableText"/>
              <w:keepLines w:val="0"/>
              <w:rPr>
                <w:sz w:val="26"/>
                <w:rtl/>
              </w:rPr>
            </w:pPr>
          </w:p>
        </w:tc>
        <w:tc>
          <w:tcPr>
            <w:tcW w:w="7143" w:type="dxa"/>
            <w:gridSpan w:val="2"/>
          </w:tcPr>
          <w:p w14:paraId="63EB2A97" w14:textId="77777777" w:rsidR="00C9328F" w:rsidRPr="008A1404" w:rsidRDefault="00C9328F" w:rsidP="00E619CE">
            <w:pPr>
              <w:pStyle w:val="TableBlock"/>
              <w:rPr>
                <w:rtl/>
              </w:rPr>
            </w:pPr>
            <w:r>
              <w:rPr>
                <w:rFonts w:hint="cs"/>
                <w:rtl/>
              </w:rPr>
              <w:t>(3)</w:t>
            </w:r>
            <w:r>
              <w:rPr>
                <w:rtl/>
              </w:rPr>
              <w:tab/>
            </w:r>
            <w:r w:rsidRPr="008A1404">
              <w:rPr>
                <w:rFonts w:hint="cs"/>
                <w:rtl/>
              </w:rPr>
              <w:t xml:space="preserve">שכרו של העובד בעל השכר הגבוה ביותר בחברה גבוה יותר מפי שלושים משכרו של העובד בעל השכר הנמוך ביותר בחברה; </w:t>
            </w:r>
          </w:p>
        </w:tc>
      </w:tr>
      <w:tr w:rsidR="00C9328F" w:rsidRPr="00911189" w14:paraId="78943415" w14:textId="77777777" w:rsidTr="00E619CE">
        <w:trPr>
          <w:cantSplit/>
        </w:trPr>
        <w:tc>
          <w:tcPr>
            <w:tcW w:w="1871" w:type="dxa"/>
          </w:tcPr>
          <w:p w14:paraId="262E0369" w14:textId="77777777" w:rsidR="00C9328F" w:rsidRPr="00911189" w:rsidRDefault="00C9328F" w:rsidP="00E619CE">
            <w:pPr>
              <w:pStyle w:val="TableSideHeading"/>
              <w:keepLines w:val="0"/>
              <w:rPr>
                <w:sz w:val="26"/>
                <w:rtl/>
              </w:rPr>
            </w:pPr>
          </w:p>
        </w:tc>
        <w:tc>
          <w:tcPr>
            <w:tcW w:w="624" w:type="dxa"/>
          </w:tcPr>
          <w:p w14:paraId="4E459FB8" w14:textId="77777777" w:rsidR="00C9328F" w:rsidRPr="00911189" w:rsidRDefault="00C9328F" w:rsidP="00E619CE">
            <w:pPr>
              <w:pStyle w:val="TableText"/>
              <w:keepLines w:val="0"/>
              <w:rPr>
                <w:sz w:val="26"/>
                <w:rtl/>
              </w:rPr>
            </w:pPr>
          </w:p>
        </w:tc>
        <w:tc>
          <w:tcPr>
            <w:tcW w:w="7143" w:type="dxa"/>
            <w:gridSpan w:val="2"/>
          </w:tcPr>
          <w:p w14:paraId="600D481C" w14:textId="77777777" w:rsidR="00C9328F" w:rsidRPr="008A1404" w:rsidRDefault="00C9328F" w:rsidP="00E619CE">
            <w:pPr>
              <w:pStyle w:val="TableBlockOutdent"/>
              <w:rPr>
                <w:rtl/>
              </w:rPr>
            </w:pPr>
            <w:r w:rsidRPr="008A1404">
              <w:rPr>
                <w:rtl/>
              </w:rPr>
              <w:t xml:space="preserve">"תאגיד עירוני" – </w:t>
            </w:r>
            <w:r w:rsidRPr="008A1404">
              <w:rPr>
                <w:rFonts w:hint="cs"/>
                <w:rtl/>
              </w:rPr>
              <w:t>כהגדרתו</w:t>
            </w:r>
            <w:r w:rsidRPr="008A1404">
              <w:rPr>
                <w:rtl/>
              </w:rPr>
              <w:t xml:space="preserve"> בסעיף 249א לפקודת העיריות</w:t>
            </w:r>
            <w:r w:rsidRPr="00C7030F">
              <w:rPr>
                <w:szCs w:val="20"/>
                <w:rtl/>
              </w:rPr>
              <w:footnoteReference w:id="20"/>
            </w:r>
            <w:r w:rsidRPr="008A1404">
              <w:rPr>
                <w:rtl/>
              </w:rPr>
              <w:t>;</w:t>
            </w:r>
          </w:p>
        </w:tc>
      </w:tr>
      <w:tr w:rsidR="00C9328F" w:rsidRPr="00911189" w14:paraId="71073B67" w14:textId="77777777" w:rsidTr="00E619CE">
        <w:trPr>
          <w:cantSplit/>
        </w:trPr>
        <w:tc>
          <w:tcPr>
            <w:tcW w:w="1871" w:type="dxa"/>
          </w:tcPr>
          <w:p w14:paraId="689F08A1" w14:textId="77777777" w:rsidR="00C9328F" w:rsidRPr="00911189" w:rsidRDefault="00C9328F" w:rsidP="00E619CE">
            <w:pPr>
              <w:pStyle w:val="TableSideHeading"/>
              <w:keepLines w:val="0"/>
              <w:rPr>
                <w:sz w:val="26"/>
                <w:rtl/>
              </w:rPr>
            </w:pPr>
          </w:p>
        </w:tc>
        <w:tc>
          <w:tcPr>
            <w:tcW w:w="624" w:type="dxa"/>
          </w:tcPr>
          <w:p w14:paraId="381B0432" w14:textId="77777777" w:rsidR="00C9328F" w:rsidRPr="00911189" w:rsidRDefault="00C9328F" w:rsidP="00E619CE">
            <w:pPr>
              <w:pStyle w:val="TableText"/>
              <w:keepLines w:val="0"/>
              <w:rPr>
                <w:sz w:val="26"/>
                <w:rtl/>
              </w:rPr>
            </w:pPr>
          </w:p>
        </w:tc>
        <w:tc>
          <w:tcPr>
            <w:tcW w:w="7143" w:type="dxa"/>
            <w:gridSpan w:val="2"/>
          </w:tcPr>
          <w:p w14:paraId="7F7CC7BB" w14:textId="77777777" w:rsidR="00C9328F" w:rsidRPr="008A1404" w:rsidRDefault="00C9328F" w:rsidP="00E619CE">
            <w:pPr>
              <w:pStyle w:val="TableBlockOutdent"/>
              <w:rPr>
                <w:rtl/>
              </w:rPr>
            </w:pPr>
            <w:r w:rsidRPr="008A1404">
              <w:rPr>
                <w:rFonts w:hint="cs"/>
                <w:rtl/>
              </w:rPr>
              <w:t xml:space="preserve">"חברה מדווחת" </w:t>
            </w:r>
            <w:r w:rsidRPr="008A1404">
              <w:rPr>
                <w:rtl/>
              </w:rPr>
              <w:t>–</w:t>
            </w:r>
            <w:r w:rsidRPr="008A1404">
              <w:rPr>
                <w:rFonts w:hint="cs"/>
                <w:rtl/>
              </w:rPr>
              <w:t xml:space="preserve"> חברה המגישה </w:t>
            </w:r>
            <w:r>
              <w:rPr>
                <w:rFonts w:hint="cs"/>
                <w:rtl/>
              </w:rPr>
              <w:t>דוח</w:t>
            </w:r>
            <w:r w:rsidRPr="008A1404">
              <w:rPr>
                <w:rFonts w:hint="cs"/>
                <w:rtl/>
              </w:rPr>
              <w:t xml:space="preserve"> אחריות </w:t>
            </w:r>
            <w:r>
              <w:rPr>
                <w:rFonts w:hint="cs"/>
                <w:rtl/>
              </w:rPr>
              <w:t>סביבתית</w:t>
            </w:r>
            <w:r w:rsidRPr="008A1404">
              <w:rPr>
                <w:rFonts w:hint="cs"/>
                <w:rtl/>
              </w:rPr>
              <w:t xml:space="preserve"> לפי חוק זה;</w:t>
            </w:r>
          </w:p>
        </w:tc>
      </w:tr>
      <w:tr w:rsidR="00C9328F" w:rsidRPr="00911189" w14:paraId="4631625B" w14:textId="77777777" w:rsidTr="00E619CE">
        <w:trPr>
          <w:cantSplit/>
        </w:trPr>
        <w:tc>
          <w:tcPr>
            <w:tcW w:w="1871" w:type="dxa"/>
          </w:tcPr>
          <w:p w14:paraId="3D7EE2F7" w14:textId="77777777" w:rsidR="00C9328F" w:rsidRPr="00911189" w:rsidRDefault="00C9328F" w:rsidP="00E619CE">
            <w:pPr>
              <w:pStyle w:val="TableSideHeading"/>
              <w:keepLines w:val="0"/>
              <w:rPr>
                <w:sz w:val="26"/>
                <w:rtl/>
              </w:rPr>
            </w:pPr>
          </w:p>
        </w:tc>
        <w:tc>
          <w:tcPr>
            <w:tcW w:w="624" w:type="dxa"/>
          </w:tcPr>
          <w:p w14:paraId="47D60402" w14:textId="77777777" w:rsidR="00C9328F" w:rsidRPr="00911189" w:rsidRDefault="00C9328F" w:rsidP="00E619CE">
            <w:pPr>
              <w:pStyle w:val="TableText"/>
              <w:keepLines w:val="0"/>
              <w:rPr>
                <w:sz w:val="26"/>
                <w:rtl/>
              </w:rPr>
            </w:pPr>
          </w:p>
        </w:tc>
        <w:tc>
          <w:tcPr>
            <w:tcW w:w="7143" w:type="dxa"/>
            <w:gridSpan w:val="2"/>
          </w:tcPr>
          <w:p w14:paraId="7864983D" w14:textId="77777777" w:rsidR="00C9328F" w:rsidRPr="008A1404" w:rsidRDefault="00C9328F" w:rsidP="00E619CE">
            <w:pPr>
              <w:pStyle w:val="TableBlockOutdent"/>
              <w:rPr>
                <w:rtl/>
              </w:rPr>
            </w:pPr>
            <w:r w:rsidRPr="008A1404">
              <w:rPr>
                <w:rtl/>
              </w:rPr>
              <w:t>"</w:t>
            </w:r>
            <w:r>
              <w:rPr>
                <w:rFonts w:hint="cs"/>
                <w:rtl/>
              </w:rPr>
              <w:t>דוח</w:t>
            </w:r>
            <w:r w:rsidRPr="008A1404">
              <w:rPr>
                <w:rtl/>
              </w:rPr>
              <w:t xml:space="preserve"> </w:t>
            </w:r>
            <w:r w:rsidRPr="008A1404">
              <w:rPr>
                <w:rFonts w:hint="cs"/>
                <w:rtl/>
              </w:rPr>
              <w:t>אחריות</w:t>
            </w:r>
            <w:r w:rsidRPr="008A1404">
              <w:rPr>
                <w:rtl/>
              </w:rPr>
              <w:t xml:space="preserve"> </w:t>
            </w:r>
            <w:r>
              <w:rPr>
                <w:rFonts w:hint="cs"/>
                <w:rtl/>
              </w:rPr>
              <w:t>סביבתית</w:t>
            </w:r>
            <w:r w:rsidRPr="008A1404">
              <w:rPr>
                <w:rtl/>
              </w:rPr>
              <w:t>" –</w:t>
            </w:r>
            <w:r w:rsidRPr="008A1404">
              <w:rPr>
                <w:rFonts w:hint="cs"/>
                <w:rtl/>
              </w:rPr>
              <w:t xml:space="preserve"> ה</w:t>
            </w:r>
            <w:r>
              <w:rPr>
                <w:rFonts w:hint="cs"/>
                <w:rtl/>
              </w:rPr>
              <w:t>דוח</w:t>
            </w:r>
            <w:r w:rsidRPr="008A1404">
              <w:rPr>
                <w:rtl/>
              </w:rPr>
              <w:t xml:space="preserve"> </w:t>
            </w:r>
            <w:r w:rsidRPr="008A1404">
              <w:rPr>
                <w:rFonts w:hint="cs"/>
                <w:rtl/>
              </w:rPr>
              <w:t xml:space="preserve">שמופיע בתוספת </w:t>
            </w:r>
            <w:proofErr w:type="spellStart"/>
            <w:r w:rsidRPr="008A1404">
              <w:rPr>
                <w:rFonts w:hint="cs"/>
                <w:rtl/>
              </w:rPr>
              <w:t>השניה</w:t>
            </w:r>
            <w:proofErr w:type="spellEnd"/>
            <w:r w:rsidRPr="008A1404">
              <w:rPr>
                <w:rFonts w:hint="cs"/>
                <w:rtl/>
              </w:rPr>
              <w:t>;</w:t>
            </w:r>
          </w:p>
        </w:tc>
      </w:tr>
      <w:tr w:rsidR="00C9328F" w:rsidRPr="00911189" w14:paraId="527F7F16" w14:textId="77777777" w:rsidTr="00E619CE">
        <w:trPr>
          <w:cantSplit/>
        </w:trPr>
        <w:tc>
          <w:tcPr>
            <w:tcW w:w="1871" w:type="dxa"/>
          </w:tcPr>
          <w:p w14:paraId="6F97232F" w14:textId="77777777" w:rsidR="00C9328F" w:rsidRPr="00911189" w:rsidRDefault="00C9328F" w:rsidP="00E619CE">
            <w:pPr>
              <w:pStyle w:val="TableSideHeading"/>
              <w:keepLines w:val="0"/>
              <w:rPr>
                <w:sz w:val="26"/>
                <w:rtl/>
              </w:rPr>
            </w:pPr>
          </w:p>
        </w:tc>
        <w:tc>
          <w:tcPr>
            <w:tcW w:w="624" w:type="dxa"/>
          </w:tcPr>
          <w:p w14:paraId="142DB205" w14:textId="77777777" w:rsidR="00C9328F" w:rsidRPr="00911189" w:rsidRDefault="00C9328F" w:rsidP="00E619CE">
            <w:pPr>
              <w:pStyle w:val="TableText"/>
              <w:keepLines w:val="0"/>
              <w:rPr>
                <w:sz w:val="26"/>
                <w:rtl/>
              </w:rPr>
            </w:pPr>
          </w:p>
        </w:tc>
        <w:tc>
          <w:tcPr>
            <w:tcW w:w="7143" w:type="dxa"/>
            <w:gridSpan w:val="2"/>
          </w:tcPr>
          <w:p w14:paraId="38132BAE" w14:textId="77777777" w:rsidR="00C9328F" w:rsidRPr="008A1404" w:rsidRDefault="00C9328F" w:rsidP="00E619CE">
            <w:pPr>
              <w:pStyle w:val="TableBlockOutdent"/>
              <w:rPr>
                <w:rtl/>
              </w:rPr>
            </w:pPr>
            <w:r w:rsidRPr="008A1404">
              <w:rPr>
                <w:rtl/>
              </w:rPr>
              <w:t>"השר" – שר המשפטים;</w:t>
            </w:r>
          </w:p>
        </w:tc>
      </w:tr>
      <w:tr w:rsidR="00C9328F" w:rsidRPr="00911189" w14:paraId="113D63F0" w14:textId="77777777" w:rsidTr="00E619CE">
        <w:trPr>
          <w:cantSplit/>
        </w:trPr>
        <w:tc>
          <w:tcPr>
            <w:tcW w:w="1871" w:type="dxa"/>
          </w:tcPr>
          <w:p w14:paraId="003B56C6" w14:textId="77777777" w:rsidR="00C9328F" w:rsidRPr="00911189" w:rsidRDefault="00C9328F" w:rsidP="00E619CE">
            <w:pPr>
              <w:pStyle w:val="TableSideHeading"/>
              <w:keepLines w:val="0"/>
              <w:rPr>
                <w:sz w:val="26"/>
                <w:rtl/>
              </w:rPr>
            </w:pPr>
          </w:p>
        </w:tc>
        <w:tc>
          <w:tcPr>
            <w:tcW w:w="624" w:type="dxa"/>
          </w:tcPr>
          <w:p w14:paraId="7F7C8CFE" w14:textId="77777777" w:rsidR="00C9328F" w:rsidRPr="00911189" w:rsidRDefault="00C9328F" w:rsidP="00E619CE">
            <w:pPr>
              <w:pStyle w:val="TableText"/>
              <w:keepLines w:val="0"/>
              <w:rPr>
                <w:sz w:val="26"/>
                <w:rtl/>
              </w:rPr>
            </w:pPr>
          </w:p>
        </w:tc>
        <w:tc>
          <w:tcPr>
            <w:tcW w:w="7143" w:type="dxa"/>
            <w:gridSpan w:val="2"/>
          </w:tcPr>
          <w:p w14:paraId="6839ECC6" w14:textId="77777777" w:rsidR="00C9328F" w:rsidRPr="008A1404" w:rsidRDefault="00C9328F" w:rsidP="00E619CE">
            <w:pPr>
              <w:pStyle w:val="TableBlockOutdent"/>
              <w:rPr>
                <w:rtl/>
              </w:rPr>
            </w:pPr>
            <w:r w:rsidRPr="008A1404">
              <w:rPr>
                <w:rtl/>
              </w:rPr>
              <w:t xml:space="preserve">"הממונה" – </w:t>
            </w:r>
            <w:r w:rsidRPr="008A1404">
              <w:rPr>
                <w:rFonts w:hint="cs"/>
                <w:rtl/>
              </w:rPr>
              <w:t>אדם שהוסמך על ידי השר</w:t>
            </w:r>
            <w:r w:rsidRPr="008A1404">
              <w:rPr>
                <w:rtl/>
              </w:rPr>
              <w:t xml:space="preserve"> </w:t>
            </w:r>
            <w:r w:rsidRPr="008A1404">
              <w:rPr>
                <w:rFonts w:hint="cs"/>
                <w:rtl/>
              </w:rPr>
              <w:t>להיות</w:t>
            </w:r>
            <w:r w:rsidRPr="008A1404">
              <w:rPr>
                <w:rtl/>
              </w:rPr>
              <w:t xml:space="preserve"> </w:t>
            </w:r>
            <w:r w:rsidRPr="008A1404">
              <w:rPr>
                <w:rFonts w:hint="cs"/>
                <w:rtl/>
              </w:rPr>
              <w:t>אחראי</w:t>
            </w:r>
            <w:r w:rsidRPr="008A1404">
              <w:rPr>
                <w:rtl/>
              </w:rPr>
              <w:t xml:space="preserve"> על ביצוע</w:t>
            </w:r>
            <w:r w:rsidRPr="008A1404">
              <w:rPr>
                <w:rFonts w:hint="cs"/>
                <w:rtl/>
              </w:rPr>
              <w:t xml:space="preserve"> </w:t>
            </w:r>
            <w:r w:rsidRPr="008A1404">
              <w:rPr>
                <w:rtl/>
              </w:rPr>
              <w:t>חוק זה;</w:t>
            </w:r>
          </w:p>
        </w:tc>
      </w:tr>
      <w:tr w:rsidR="00C9328F" w:rsidRPr="00911189" w14:paraId="3A6FC3BD" w14:textId="77777777" w:rsidTr="00E619CE">
        <w:trPr>
          <w:cantSplit/>
        </w:trPr>
        <w:tc>
          <w:tcPr>
            <w:tcW w:w="1871" w:type="dxa"/>
          </w:tcPr>
          <w:p w14:paraId="7B2FB943" w14:textId="77777777" w:rsidR="00C9328F" w:rsidRPr="00911189" w:rsidRDefault="00C9328F" w:rsidP="00E619CE">
            <w:pPr>
              <w:pStyle w:val="TableSideHeading"/>
              <w:keepLines w:val="0"/>
              <w:rPr>
                <w:sz w:val="26"/>
                <w:rtl/>
              </w:rPr>
            </w:pPr>
          </w:p>
        </w:tc>
        <w:tc>
          <w:tcPr>
            <w:tcW w:w="624" w:type="dxa"/>
          </w:tcPr>
          <w:p w14:paraId="70E33FB0" w14:textId="77777777" w:rsidR="00C9328F" w:rsidRPr="00911189" w:rsidRDefault="00C9328F" w:rsidP="00E619CE">
            <w:pPr>
              <w:pStyle w:val="TableText"/>
              <w:keepLines w:val="0"/>
              <w:rPr>
                <w:sz w:val="26"/>
                <w:rtl/>
              </w:rPr>
            </w:pPr>
          </w:p>
        </w:tc>
        <w:tc>
          <w:tcPr>
            <w:tcW w:w="7143" w:type="dxa"/>
            <w:gridSpan w:val="2"/>
          </w:tcPr>
          <w:p w14:paraId="590F48FC" w14:textId="77777777" w:rsidR="00C9328F" w:rsidRPr="008A1404" w:rsidRDefault="00C9328F" w:rsidP="00E619CE">
            <w:pPr>
              <w:pStyle w:val="TableBlockOutdent"/>
              <w:rPr>
                <w:rtl/>
              </w:rPr>
            </w:pPr>
            <w:r w:rsidRPr="008A1404">
              <w:rPr>
                <w:rtl/>
              </w:rPr>
              <w:t xml:space="preserve">"מאגר הדיווח" – מאגר מקוון </w:t>
            </w:r>
            <w:r w:rsidRPr="008A1404">
              <w:rPr>
                <w:rFonts w:hint="cs"/>
                <w:rtl/>
              </w:rPr>
              <w:t>בו מוצגים</w:t>
            </w:r>
            <w:r w:rsidRPr="008A1404">
              <w:rPr>
                <w:rtl/>
              </w:rPr>
              <w:t xml:space="preserve"> ה</w:t>
            </w:r>
            <w:r>
              <w:rPr>
                <w:rtl/>
              </w:rPr>
              <w:t>דוח</w:t>
            </w:r>
            <w:r w:rsidRPr="008A1404">
              <w:rPr>
                <w:rtl/>
              </w:rPr>
              <w:t>ות שהוגשו לפי חוק זה;</w:t>
            </w:r>
          </w:p>
        </w:tc>
      </w:tr>
      <w:tr w:rsidR="00C9328F" w:rsidRPr="00911189" w14:paraId="620FA759" w14:textId="77777777" w:rsidTr="00E619CE">
        <w:trPr>
          <w:cantSplit/>
        </w:trPr>
        <w:tc>
          <w:tcPr>
            <w:tcW w:w="1871" w:type="dxa"/>
          </w:tcPr>
          <w:p w14:paraId="6CB4FB7B" w14:textId="77777777" w:rsidR="00C9328F" w:rsidRPr="00911189" w:rsidRDefault="00C9328F" w:rsidP="00E619CE">
            <w:pPr>
              <w:pStyle w:val="TableSideHeading"/>
              <w:keepLines w:val="0"/>
              <w:rPr>
                <w:sz w:val="26"/>
                <w:rtl/>
              </w:rPr>
            </w:pPr>
            <w:r w:rsidRPr="00911189">
              <w:rPr>
                <w:rFonts w:hint="cs"/>
                <w:sz w:val="26"/>
                <w:rtl/>
              </w:rPr>
              <w:t xml:space="preserve">חובת הגשת </w:t>
            </w:r>
            <w:r>
              <w:rPr>
                <w:rFonts w:hint="cs"/>
                <w:sz w:val="26"/>
                <w:rtl/>
              </w:rPr>
              <w:t>דוח</w:t>
            </w:r>
            <w:r w:rsidRPr="00911189">
              <w:rPr>
                <w:rFonts w:hint="cs"/>
                <w:sz w:val="26"/>
                <w:rtl/>
              </w:rPr>
              <w:t xml:space="preserve"> אחריות </w:t>
            </w:r>
            <w:r>
              <w:rPr>
                <w:rFonts w:hint="cs"/>
                <w:sz w:val="26"/>
                <w:rtl/>
              </w:rPr>
              <w:t>סביבתית</w:t>
            </w:r>
          </w:p>
        </w:tc>
        <w:tc>
          <w:tcPr>
            <w:tcW w:w="624" w:type="dxa"/>
          </w:tcPr>
          <w:p w14:paraId="76208502" w14:textId="77777777" w:rsidR="00C9328F" w:rsidRPr="00911189" w:rsidRDefault="00C9328F" w:rsidP="00E619CE">
            <w:pPr>
              <w:pStyle w:val="TableText"/>
              <w:keepLines w:val="0"/>
              <w:rPr>
                <w:sz w:val="26"/>
                <w:rtl/>
              </w:rPr>
            </w:pPr>
            <w:r w:rsidRPr="00911189">
              <w:rPr>
                <w:rFonts w:hint="cs"/>
                <w:sz w:val="26"/>
                <w:rtl/>
              </w:rPr>
              <w:t>2.</w:t>
            </w:r>
          </w:p>
        </w:tc>
        <w:tc>
          <w:tcPr>
            <w:tcW w:w="7143" w:type="dxa"/>
            <w:gridSpan w:val="2"/>
          </w:tcPr>
          <w:p w14:paraId="589B8A26" w14:textId="77777777" w:rsidR="00C9328F" w:rsidRPr="008A1404" w:rsidRDefault="00C9328F" w:rsidP="00E619CE">
            <w:pPr>
              <w:pStyle w:val="TableBlock"/>
              <w:rPr>
                <w:rtl/>
              </w:rPr>
            </w:pPr>
            <w:r w:rsidRPr="008A1404">
              <w:rPr>
                <w:rtl/>
              </w:rPr>
              <w:t>(א)</w:t>
            </w:r>
            <w:r w:rsidRPr="008A1404">
              <w:rPr>
                <w:rtl/>
              </w:rPr>
              <w:tab/>
              <w:t xml:space="preserve">חברה ממשלתית, תאגיד עירוני וחברה גדולה </w:t>
            </w:r>
            <w:r w:rsidRPr="008A1404">
              <w:rPr>
                <w:rFonts w:hint="cs"/>
                <w:rtl/>
              </w:rPr>
              <w:t>יגישו</w:t>
            </w:r>
            <w:r w:rsidRPr="008A1404">
              <w:rPr>
                <w:rtl/>
              </w:rPr>
              <w:t xml:space="preserve"> מדי שנה </w:t>
            </w:r>
            <w:r>
              <w:rPr>
                <w:rtl/>
              </w:rPr>
              <w:t>דוח</w:t>
            </w:r>
            <w:r w:rsidRPr="008A1404">
              <w:rPr>
                <w:rtl/>
              </w:rPr>
              <w:t xml:space="preserve"> אחריות </w:t>
            </w:r>
            <w:r>
              <w:rPr>
                <w:rFonts w:hint="cs"/>
                <w:rtl/>
              </w:rPr>
              <w:t>סביבתית</w:t>
            </w:r>
            <w:r w:rsidRPr="008A1404">
              <w:rPr>
                <w:rFonts w:hint="cs"/>
                <w:rtl/>
              </w:rPr>
              <w:t>;</w:t>
            </w:r>
            <w:r w:rsidRPr="008A1404">
              <w:rPr>
                <w:rtl/>
              </w:rPr>
              <w:t xml:space="preserve"> חברה ציבורית שאינה חברה גדולה תגיש </w:t>
            </w:r>
            <w:r w:rsidRPr="008A1404">
              <w:rPr>
                <w:rFonts w:hint="cs"/>
                <w:rtl/>
              </w:rPr>
              <w:t>את ה</w:t>
            </w:r>
            <w:r>
              <w:rPr>
                <w:rtl/>
              </w:rPr>
              <w:t>דוח</w:t>
            </w:r>
            <w:r w:rsidRPr="008A1404">
              <w:rPr>
                <w:rtl/>
              </w:rPr>
              <w:t xml:space="preserve"> אחת לשנתיים</w:t>
            </w:r>
            <w:r w:rsidRPr="008A1404">
              <w:rPr>
                <w:rFonts w:hint="cs"/>
                <w:rtl/>
              </w:rPr>
              <w:t>;</w:t>
            </w:r>
            <w:r w:rsidRPr="008A1404">
              <w:rPr>
                <w:rtl/>
              </w:rPr>
              <w:t xml:space="preserve"> תאגיד שאינו חברה מדווחת רשאי להגיש </w:t>
            </w:r>
            <w:r>
              <w:rPr>
                <w:rFonts w:hint="cs"/>
                <w:rtl/>
              </w:rPr>
              <w:t>דוח</w:t>
            </w:r>
            <w:r w:rsidRPr="008A1404">
              <w:rPr>
                <w:rFonts w:hint="cs"/>
                <w:rtl/>
              </w:rPr>
              <w:t xml:space="preserve"> אחריות </w:t>
            </w:r>
            <w:r>
              <w:rPr>
                <w:rFonts w:hint="cs"/>
                <w:rtl/>
              </w:rPr>
              <w:t>סביבתית</w:t>
            </w:r>
            <w:r w:rsidRPr="008A1404">
              <w:rPr>
                <w:rFonts w:hint="cs"/>
                <w:rtl/>
              </w:rPr>
              <w:t xml:space="preserve"> </w:t>
            </w:r>
            <w:r w:rsidRPr="008A1404">
              <w:rPr>
                <w:rtl/>
              </w:rPr>
              <w:t>בהתאם לחוק זה</w:t>
            </w:r>
            <w:r w:rsidRPr="008A1404">
              <w:rPr>
                <w:rFonts w:hint="cs"/>
                <w:rtl/>
              </w:rPr>
              <w:t xml:space="preserve">; </w:t>
            </w:r>
          </w:p>
        </w:tc>
      </w:tr>
      <w:tr w:rsidR="00C9328F" w:rsidRPr="00911189" w14:paraId="5057CA69" w14:textId="77777777" w:rsidTr="00E619CE">
        <w:trPr>
          <w:cantSplit/>
        </w:trPr>
        <w:tc>
          <w:tcPr>
            <w:tcW w:w="1871" w:type="dxa"/>
          </w:tcPr>
          <w:p w14:paraId="0D93EF7B" w14:textId="77777777" w:rsidR="00C9328F" w:rsidRPr="00911189" w:rsidRDefault="00C9328F" w:rsidP="00E619CE">
            <w:pPr>
              <w:pStyle w:val="TableSideHeading"/>
              <w:keepLines w:val="0"/>
              <w:rPr>
                <w:sz w:val="26"/>
                <w:rtl/>
              </w:rPr>
            </w:pPr>
          </w:p>
        </w:tc>
        <w:tc>
          <w:tcPr>
            <w:tcW w:w="624" w:type="dxa"/>
          </w:tcPr>
          <w:p w14:paraId="7F56F59B" w14:textId="77777777" w:rsidR="00C9328F" w:rsidRPr="00911189" w:rsidRDefault="00C9328F" w:rsidP="00E619CE">
            <w:pPr>
              <w:pStyle w:val="TableText"/>
              <w:keepLines w:val="0"/>
              <w:rPr>
                <w:sz w:val="26"/>
                <w:rtl/>
              </w:rPr>
            </w:pPr>
          </w:p>
        </w:tc>
        <w:tc>
          <w:tcPr>
            <w:tcW w:w="7143" w:type="dxa"/>
            <w:gridSpan w:val="2"/>
          </w:tcPr>
          <w:p w14:paraId="461936CA" w14:textId="77777777" w:rsidR="00C9328F" w:rsidRPr="008A1404" w:rsidRDefault="00C9328F" w:rsidP="00E619CE">
            <w:pPr>
              <w:pStyle w:val="TableBlock"/>
              <w:rPr>
                <w:rtl/>
              </w:rPr>
            </w:pPr>
            <w:r w:rsidRPr="008A1404">
              <w:rPr>
                <w:rtl/>
              </w:rPr>
              <w:t>(ב)</w:t>
            </w:r>
            <w:r w:rsidRPr="008A1404">
              <w:rPr>
                <w:rtl/>
              </w:rPr>
              <w:tab/>
              <w:t>ה</w:t>
            </w:r>
            <w:r>
              <w:rPr>
                <w:rtl/>
              </w:rPr>
              <w:t>דוח</w:t>
            </w:r>
            <w:r w:rsidRPr="008A1404">
              <w:rPr>
                <w:rtl/>
              </w:rPr>
              <w:t xml:space="preserve"> יוגש לממונה </w:t>
            </w:r>
            <w:r w:rsidRPr="008A1404">
              <w:rPr>
                <w:rFonts w:hint="cs"/>
                <w:rtl/>
              </w:rPr>
              <w:t>ול</w:t>
            </w:r>
            <w:r w:rsidRPr="008A1404">
              <w:rPr>
                <w:rtl/>
              </w:rPr>
              <w:t>רשות לניירות ערך.</w:t>
            </w:r>
          </w:p>
        </w:tc>
      </w:tr>
      <w:tr w:rsidR="00C9328F" w:rsidRPr="00911189" w14:paraId="2F4BCA2D" w14:textId="77777777" w:rsidTr="00E619CE">
        <w:trPr>
          <w:cantSplit/>
        </w:trPr>
        <w:tc>
          <w:tcPr>
            <w:tcW w:w="1871" w:type="dxa"/>
          </w:tcPr>
          <w:p w14:paraId="52FCEE9E" w14:textId="77777777" w:rsidR="00C9328F" w:rsidRPr="00911189" w:rsidRDefault="00C9328F" w:rsidP="00E619CE">
            <w:pPr>
              <w:pStyle w:val="TableSideHeading"/>
              <w:keepLines w:val="0"/>
              <w:rPr>
                <w:sz w:val="26"/>
                <w:rtl/>
              </w:rPr>
            </w:pPr>
            <w:r w:rsidRPr="00911189">
              <w:rPr>
                <w:rFonts w:hint="cs"/>
                <w:sz w:val="26"/>
                <w:rtl/>
              </w:rPr>
              <w:t>מינוי אחראי</w:t>
            </w:r>
            <w:r w:rsidRPr="00911189">
              <w:rPr>
                <w:sz w:val="26"/>
                <w:rtl/>
              </w:rPr>
              <w:t xml:space="preserve"> </w:t>
            </w:r>
          </w:p>
        </w:tc>
        <w:tc>
          <w:tcPr>
            <w:tcW w:w="624" w:type="dxa"/>
          </w:tcPr>
          <w:p w14:paraId="4C5B0062" w14:textId="77777777" w:rsidR="00C9328F" w:rsidRPr="00911189" w:rsidRDefault="00C9328F" w:rsidP="00E619CE">
            <w:pPr>
              <w:pStyle w:val="TableText"/>
              <w:keepLines w:val="0"/>
              <w:rPr>
                <w:sz w:val="26"/>
                <w:rtl/>
              </w:rPr>
            </w:pPr>
            <w:r w:rsidRPr="00911189">
              <w:rPr>
                <w:rFonts w:hint="cs"/>
                <w:sz w:val="26"/>
                <w:rtl/>
              </w:rPr>
              <w:t>3.</w:t>
            </w:r>
          </w:p>
        </w:tc>
        <w:tc>
          <w:tcPr>
            <w:tcW w:w="7143" w:type="dxa"/>
            <w:gridSpan w:val="2"/>
          </w:tcPr>
          <w:p w14:paraId="5A2A9966" w14:textId="77777777" w:rsidR="00C9328F" w:rsidRPr="008A1404" w:rsidRDefault="00C9328F" w:rsidP="00E619CE">
            <w:pPr>
              <w:pStyle w:val="TableBlock"/>
              <w:rPr>
                <w:rtl/>
              </w:rPr>
            </w:pPr>
            <w:r w:rsidRPr="008A1404">
              <w:rPr>
                <w:rtl/>
              </w:rPr>
              <w:t xml:space="preserve">חברה מדווחת תמנה </w:t>
            </w:r>
            <w:r w:rsidRPr="008A1404">
              <w:rPr>
                <w:rFonts w:hint="cs"/>
                <w:rtl/>
              </w:rPr>
              <w:t>אדם</w:t>
            </w:r>
            <w:r w:rsidRPr="008A1404">
              <w:rPr>
                <w:rtl/>
              </w:rPr>
              <w:t xml:space="preserve"> מטעמה </w:t>
            </w:r>
            <w:r w:rsidRPr="008A1404">
              <w:rPr>
                <w:rFonts w:hint="cs"/>
                <w:rtl/>
              </w:rPr>
              <w:t>שיהיה אחראי על הדיווח לפי חוק זה.</w:t>
            </w:r>
          </w:p>
        </w:tc>
      </w:tr>
      <w:tr w:rsidR="00C9328F" w:rsidRPr="00911189" w14:paraId="6C8FD9B0" w14:textId="77777777" w:rsidTr="00E619CE">
        <w:trPr>
          <w:cantSplit/>
        </w:trPr>
        <w:tc>
          <w:tcPr>
            <w:tcW w:w="1871" w:type="dxa"/>
          </w:tcPr>
          <w:p w14:paraId="0997FE50" w14:textId="77777777" w:rsidR="00C9328F" w:rsidRPr="00911189" w:rsidRDefault="00C9328F" w:rsidP="00E619CE">
            <w:pPr>
              <w:pStyle w:val="TableSideHeading"/>
              <w:keepLines w:val="0"/>
              <w:rPr>
                <w:sz w:val="26"/>
                <w:rtl/>
              </w:rPr>
            </w:pPr>
            <w:r w:rsidRPr="00911189">
              <w:rPr>
                <w:sz w:val="26"/>
                <w:rtl/>
              </w:rPr>
              <w:t xml:space="preserve">פרסום </w:t>
            </w:r>
          </w:p>
        </w:tc>
        <w:tc>
          <w:tcPr>
            <w:tcW w:w="624" w:type="dxa"/>
          </w:tcPr>
          <w:p w14:paraId="2703EE00" w14:textId="77777777" w:rsidR="00C9328F" w:rsidRPr="00911189" w:rsidRDefault="00C9328F" w:rsidP="00E619CE">
            <w:pPr>
              <w:pStyle w:val="TableText"/>
              <w:keepLines w:val="0"/>
              <w:rPr>
                <w:sz w:val="26"/>
                <w:rtl/>
              </w:rPr>
            </w:pPr>
            <w:r w:rsidRPr="00911189">
              <w:rPr>
                <w:rFonts w:hint="cs"/>
                <w:sz w:val="26"/>
                <w:rtl/>
              </w:rPr>
              <w:t>4.</w:t>
            </w:r>
          </w:p>
        </w:tc>
        <w:tc>
          <w:tcPr>
            <w:tcW w:w="7143" w:type="dxa"/>
            <w:gridSpan w:val="2"/>
          </w:tcPr>
          <w:p w14:paraId="5CCE2C8C" w14:textId="77777777" w:rsidR="00C9328F" w:rsidRPr="008A1404" w:rsidRDefault="00C9328F" w:rsidP="00E619CE">
            <w:pPr>
              <w:pStyle w:val="TableBlock"/>
              <w:rPr>
                <w:rtl/>
              </w:rPr>
            </w:pPr>
            <w:r w:rsidRPr="008A1404">
              <w:rPr>
                <w:rtl/>
              </w:rPr>
              <w:t>הממונה</w:t>
            </w:r>
            <w:r w:rsidRPr="008A1404">
              <w:rPr>
                <w:rFonts w:hint="cs"/>
                <w:rtl/>
              </w:rPr>
              <w:t xml:space="preserve"> </w:t>
            </w:r>
            <w:r w:rsidRPr="008A1404">
              <w:rPr>
                <w:rtl/>
              </w:rPr>
              <w:t>יעמיד</w:t>
            </w:r>
            <w:r w:rsidRPr="008A1404">
              <w:rPr>
                <w:rFonts w:hint="cs"/>
                <w:rtl/>
              </w:rPr>
              <w:t xml:space="preserve"> את מאגר הדיווח</w:t>
            </w:r>
            <w:r w:rsidRPr="008A1404">
              <w:rPr>
                <w:rtl/>
              </w:rPr>
              <w:t xml:space="preserve"> לעיון הציבור</w:t>
            </w:r>
            <w:r w:rsidRPr="008A1404">
              <w:rPr>
                <w:rFonts w:hint="cs"/>
                <w:rtl/>
              </w:rPr>
              <w:t xml:space="preserve"> בצירוף הסבר תמציתי.</w:t>
            </w:r>
          </w:p>
        </w:tc>
      </w:tr>
      <w:tr w:rsidR="00C9328F" w:rsidRPr="00911189" w14:paraId="4E877DE5" w14:textId="77777777" w:rsidTr="00E619CE">
        <w:trPr>
          <w:cantSplit/>
        </w:trPr>
        <w:tc>
          <w:tcPr>
            <w:tcW w:w="1871" w:type="dxa"/>
          </w:tcPr>
          <w:p w14:paraId="659F252E" w14:textId="77777777" w:rsidR="00C9328F" w:rsidRPr="00911189" w:rsidRDefault="00C9328F" w:rsidP="00E619CE">
            <w:pPr>
              <w:pStyle w:val="TableSideHeading"/>
              <w:keepLines w:val="0"/>
              <w:rPr>
                <w:sz w:val="26"/>
                <w:rtl/>
              </w:rPr>
            </w:pPr>
            <w:r w:rsidRPr="00911189">
              <w:rPr>
                <w:sz w:val="26"/>
                <w:rtl/>
              </w:rPr>
              <w:t xml:space="preserve">מועד </w:t>
            </w:r>
            <w:r w:rsidRPr="00911189">
              <w:rPr>
                <w:rFonts w:hint="cs"/>
                <w:sz w:val="26"/>
                <w:rtl/>
              </w:rPr>
              <w:t>דיווח</w:t>
            </w:r>
          </w:p>
        </w:tc>
        <w:tc>
          <w:tcPr>
            <w:tcW w:w="624" w:type="dxa"/>
          </w:tcPr>
          <w:p w14:paraId="25623373" w14:textId="77777777" w:rsidR="00C9328F" w:rsidRPr="00911189" w:rsidRDefault="00C9328F" w:rsidP="00E619CE">
            <w:pPr>
              <w:pStyle w:val="TableText"/>
              <w:keepLines w:val="0"/>
              <w:rPr>
                <w:sz w:val="26"/>
                <w:rtl/>
              </w:rPr>
            </w:pPr>
            <w:r w:rsidRPr="00911189">
              <w:rPr>
                <w:rFonts w:hint="cs"/>
                <w:sz w:val="26"/>
                <w:rtl/>
              </w:rPr>
              <w:t>5.</w:t>
            </w:r>
          </w:p>
        </w:tc>
        <w:tc>
          <w:tcPr>
            <w:tcW w:w="7143" w:type="dxa"/>
            <w:gridSpan w:val="2"/>
          </w:tcPr>
          <w:p w14:paraId="435C7F2B" w14:textId="77777777" w:rsidR="00C9328F" w:rsidRPr="008A1404" w:rsidRDefault="00C9328F" w:rsidP="00E619CE">
            <w:pPr>
              <w:pStyle w:val="TableBlock"/>
              <w:rPr>
                <w:rtl/>
              </w:rPr>
            </w:pPr>
            <w:r>
              <w:rPr>
                <w:rFonts w:hint="cs"/>
                <w:rtl/>
              </w:rPr>
              <w:t>(א)</w:t>
            </w:r>
            <w:r>
              <w:rPr>
                <w:rtl/>
              </w:rPr>
              <w:tab/>
              <w:t>דוח</w:t>
            </w:r>
            <w:r w:rsidRPr="008A1404">
              <w:rPr>
                <w:rFonts w:hint="cs"/>
                <w:rtl/>
              </w:rPr>
              <w:t xml:space="preserve"> אחריות </w:t>
            </w:r>
            <w:r>
              <w:rPr>
                <w:rFonts w:hint="cs"/>
                <w:rtl/>
              </w:rPr>
              <w:t>סביבתית</w:t>
            </w:r>
            <w:r w:rsidRPr="008A1404">
              <w:rPr>
                <w:rtl/>
              </w:rPr>
              <w:t xml:space="preserve"> יוגש </w:t>
            </w:r>
            <w:r w:rsidRPr="008A1404">
              <w:rPr>
                <w:rFonts w:hint="cs"/>
                <w:rtl/>
              </w:rPr>
              <w:t>בתוך</w:t>
            </w:r>
            <w:r w:rsidRPr="008A1404">
              <w:rPr>
                <w:rtl/>
              </w:rPr>
              <w:t xml:space="preserve"> הרבעון הראשון של שנת הכספים עבור השנה שקדמה לה</w:t>
            </w:r>
            <w:r w:rsidRPr="008A1404">
              <w:rPr>
                <w:rFonts w:hint="cs"/>
                <w:rtl/>
              </w:rPr>
              <w:t xml:space="preserve">; </w:t>
            </w:r>
            <w:r w:rsidRPr="008A1404">
              <w:rPr>
                <w:rtl/>
              </w:rPr>
              <w:t xml:space="preserve">הממונה רשאי, מטעמים שיירשמו, </w:t>
            </w:r>
            <w:r w:rsidRPr="008A1404">
              <w:rPr>
                <w:rFonts w:hint="cs"/>
                <w:rtl/>
              </w:rPr>
              <w:t>להאריך את התקופה</w:t>
            </w:r>
            <w:r w:rsidRPr="008A1404">
              <w:rPr>
                <w:rtl/>
              </w:rPr>
              <w:t xml:space="preserve"> עד חודשיים </w:t>
            </w:r>
            <w:r w:rsidRPr="008A1404">
              <w:rPr>
                <w:rFonts w:hint="cs"/>
                <w:rtl/>
              </w:rPr>
              <w:t>נוספים לחברות</w:t>
            </w:r>
            <w:r w:rsidRPr="008A1404">
              <w:rPr>
                <w:rtl/>
              </w:rPr>
              <w:t xml:space="preserve"> שיבקשו זאת.</w:t>
            </w:r>
          </w:p>
        </w:tc>
      </w:tr>
      <w:tr w:rsidR="00C9328F" w:rsidRPr="00911189" w14:paraId="29844533" w14:textId="77777777" w:rsidTr="00E619CE">
        <w:trPr>
          <w:cantSplit/>
        </w:trPr>
        <w:tc>
          <w:tcPr>
            <w:tcW w:w="1871" w:type="dxa"/>
          </w:tcPr>
          <w:p w14:paraId="3EF59BE6" w14:textId="77777777" w:rsidR="00C9328F" w:rsidRPr="00911189" w:rsidRDefault="00C9328F" w:rsidP="00E619CE">
            <w:pPr>
              <w:pStyle w:val="TableSideHeading"/>
              <w:keepLines w:val="0"/>
              <w:rPr>
                <w:sz w:val="26"/>
                <w:rtl/>
              </w:rPr>
            </w:pPr>
          </w:p>
        </w:tc>
        <w:tc>
          <w:tcPr>
            <w:tcW w:w="624" w:type="dxa"/>
          </w:tcPr>
          <w:p w14:paraId="6F6A9AFF" w14:textId="77777777" w:rsidR="00C9328F" w:rsidRPr="00911189" w:rsidRDefault="00C9328F" w:rsidP="00E619CE">
            <w:pPr>
              <w:pStyle w:val="TableText"/>
              <w:keepLines w:val="0"/>
              <w:rPr>
                <w:sz w:val="26"/>
                <w:rtl/>
              </w:rPr>
            </w:pPr>
          </w:p>
        </w:tc>
        <w:tc>
          <w:tcPr>
            <w:tcW w:w="7143" w:type="dxa"/>
            <w:gridSpan w:val="2"/>
          </w:tcPr>
          <w:p w14:paraId="67C91DAC" w14:textId="77777777" w:rsidR="00C9328F" w:rsidRPr="008A1404" w:rsidRDefault="00C9328F" w:rsidP="00E619CE">
            <w:pPr>
              <w:pStyle w:val="TableBlock"/>
              <w:rPr>
                <w:rtl/>
              </w:rPr>
            </w:pPr>
            <w:r w:rsidRPr="008A1404">
              <w:rPr>
                <w:rtl/>
              </w:rPr>
              <w:t>(</w:t>
            </w:r>
            <w:r>
              <w:rPr>
                <w:rFonts w:hint="cs"/>
                <w:rtl/>
              </w:rPr>
              <w:t>ב</w:t>
            </w:r>
            <w:r w:rsidRPr="008A1404">
              <w:rPr>
                <w:rtl/>
              </w:rPr>
              <w:t>)</w:t>
            </w:r>
            <w:r w:rsidRPr="008A1404">
              <w:rPr>
                <w:rtl/>
              </w:rPr>
              <w:tab/>
              <w:t>השר רשאי לפטור חברה מחובת הדיווח לתקופ</w:t>
            </w:r>
            <w:r w:rsidRPr="008A1404">
              <w:rPr>
                <w:rFonts w:hint="cs"/>
                <w:rtl/>
              </w:rPr>
              <w:t xml:space="preserve">ת </w:t>
            </w:r>
            <w:r w:rsidRPr="008A1404">
              <w:rPr>
                <w:rtl/>
              </w:rPr>
              <w:t>דיווח אחת מטעמים מיוחדים שיירשמו ויפורסמו</w:t>
            </w:r>
            <w:r w:rsidRPr="008A1404">
              <w:rPr>
                <w:rFonts w:hint="cs"/>
                <w:rtl/>
              </w:rPr>
              <w:t xml:space="preserve"> במאגר הדיווח.</w:t>
            </w:r>
          </w:p>
        </w:tc>
      </w:tr>
      <w:tr w:rsidR="00C9328F" w:rsidRPr="00911189" w14:paraId="6F7365B9" w14:textId="77777777" w:rsidTr="00E619CE">
        <w:trPr>
          <w:cantSplit/>
        </w:trPr>
        <w:tc>
          <w:tcPr>
            <w:tcW w:w="1871" w:type="dxa"/>
          </w:tcPr>
          <w:p w14:paraId="525F76B7" w14:textId="77777777" w:rsidR="00C9328F" w:rsidRPr="00911189" w:rsidRDefault="00C9328F" w:rsidP="00E619CE">
            <w:pPr>
              <w:pStyle w:val="TableSideHeading"/>
              <w:keepLines w:val="0"/>
              <w:rPr>
                <w:sz w:val="26"/>
                <w:rtl/>
              </w:rPr>
            </w:pPr>
            <w:r w:rsidRPr="00911189">
              <w:rPr>
                <w:sz w:val="26"/>
                <w:rtl/>
              </w:rPr>
              <w:t>תו חברה מדווחת</w:t>
            </w:r>
          </w:p>
        </w:tc>
        <w:tc>
          <w:tcPr>
            <w:tcW w:w="624" w:type="dxa"/>
          </w:tcPr>
          <w:p w14:paraId="335A255F" w14:textId="77777777" w:rsidR="00C9328F" w:rsidRPr="00911189" w:rsidRDefault="00C9328F" w:rsidP="00E619CE">
            <w:pPr>
              <w:pStyle w:val="TableText"/>
              <w:keepLines w:val="0"/>
              <w:rPr>
                <w:sz w:val="26"/>
                <w:rtl/>
              </w:rPr>
            </w:pPr>
            <w:r w:rsidRPr="00911189">
              <w:rPr>
                <w:rFonts w:hint="cs"/>
                <w:sz w:val="26"/>
                <w:rtl/>
              </w:rPr>
              <w:t>6.</w:t>
            </w:r>
          </w:p>
        </w:tc>
        <w:tc>
          <w:tcPr>
            <w:tcW w:w="7143" w:type="dxa"/>
            <w:gridSpan w:val="2"/>
          </w:tcPr>
          <w:p w14:paraId="24586DA7" w14:textId="77777777" w:rsidR="00C9328F" w:rsidRPr="008A1404" w:rsidRDefault="00C9328F" w:rsidP="00E619CE">
            <w:pPr>
              <w:pStyle w:val="TableBlock"/>
              <w:rPr>
                <w:rtl/>
              </w:rPr>
            </w:pPr>
            <w:r w:rsidRPr="008A1404">
              <w:rPr>
                <w:rtl/>
              </w:rPr>
              <w:t xml:space="preserve">חברה מדווחת </w:t>
            </w:r>
            <w:r w:rsidRPr="008A1404">
              <w:rPr>
                <w:rFonts w:hint="cs"/>
                <w:rtl/>
              </w:rPr>
              <w:t>רשאית</w:t>
            </w:r>
            <w:r w:rsidRPr="008A1404">
              <w:rPr>
                <w:rtl/>
              </w:rPr>
              <w:t xml:space="preserve"> להטביע על מוצריה ועל חומרים נוספים מטעמה </w:t>
            </w:r>
            <w:r w:rsidRPr="008A1404">
              <w:rPr>
                <w:rFonts w:hint="cs"/>
                <w:rtl/>
              </w:rPr>
              <w:t>את הסימן</w:t>
            </w:r>
            <w:r w:rsidRPr="008A1404">
              <w:rPr>
                <w:rtl/>
              </w:rPr>
              <w:t xml:space="preserve"> </w:t>
            </w:r>
            <w:r w:rsidRPr="008A1404">
              <w:rPr>
                <w:rFonts w:hint="cs"/>
                <w:rtl/>
              </w:rPr>
              <w:t>המופיע ב</w:t>
            </w:r>
            <w:r w:rsidRPr="008A1404">
              <w:rPr>
                <w:rtl/>
              </w:rPr>
              <w:t>תוספת הראשונה</w:t>
            </w:r>
            <w:r w:rsidRPr="008A1404">
              <w:rPr>
                <w:rFonts w:hint="cs"/>
                <w:rtl/>
              </w:rPr>
              <w:t>.</w:t>
            </w:r>
          </w:p>
        </w:tc>
      </w:tr>
      <w:tr w:rsidR="00C9328F" w:rsidRPr="00911189" w14:paraId="3B6C8A33" w14:textId="77777777" w:rsidTr="00E619CE">
        <w:trPr>
          <w:cantSplit/>
        </w:trPr>
        <w:tc>
          <w:tcPr>
            <w:tcW w:w="1871" w:type="dxa"/>
          </w:tcPr>
          <w:p w14:paraId="3912640B" w14:textId="77777777" w:rsidR="00C9328F" w:rsidRPr="00911189" w:rsidRDefault="00C9328F" w:rsidP="00E619CE">
            <w:pPr>
              <w:pStyle w:val="TableSideHeading"/>
              <w:keepLines w:val="0"/>
              <w:rPr>
                <w:sz w:val="26"/>
                <w:rtl/>
              </w:rPr>
            </w:pPr>
            <w:r w:rsidRPr="00911189">
              <w:rPr>
                <w:sz w:val="26"/>
                <w:rtl/>
              </w:rPr>
              <w:t>הוועדה המייעצת</w:t>
            </w:r>
          </w:p>
        </w:tc>
        <w:tc>
          <w:tcPr>
            <w:tcW w:w="624" w:type="dxa"/>
          </w:tcPr>
          <w:p w14:paraId="1194BAF6" w14:textId="77777777" w:rsidR="00C9328F" w:rsidRPr="00911189" w:rsidRDefault="00C9328F" w:rsidP="00E619CE">
            <w:pPr>
              <w:pStyle w:val="TableText"/>
              <w:keepLines w:val="0"/>
              <w:rPr>
                <w:sz w:val="26"/>
                <w:rtl/>
              </w:rPr>
            </w:pPr>
            <w:r w:rsidRPr="00911189">
              <w:rPr>
                <w:rFonts w:hint="cs"/>
                <w:sz w:val="26"/>
                <w:rtl/>
              </w:rPr>
              <w:t>7.</w:t>
            </w:r>
          </w:p>
        </w:tc>
        <w:tc>
          <w:tcPr>
            <w:tcW w:w="7143" w:type="dxa"/>
            <w:gridSpan w:val="2"/>
          </w:tcPr>
          <w:p w14:paraId="11D5355A" w14:textId="77777777" w:rsidR="00C9328F" w:rsidRPr="008A1404" w:rsidRDefault="00C9328F" w:rsidP="00E619CE">
            <w:pPr>
              <w:pStyle w:val="TableBlock"/>
              <w:rPr>
                <w:rtl/>
              </w:rPr>
            </w:pPr>
            <w:r w:rsidRPr="008A1404">
              <w:rPr>
                <w:rtl/>
              </w:rPr>
              <w:t>(א)</w:t>
            </w:r>
            <w:r w:rsidRPr="008A1404">
              <w:rPr>
                <w:rtl/>
              </w:rPr>
              <w:tab/>
              <w:t xml:space="preserve">השר ימנה וועדה מייעצת </w:t>
            </w:r>
            <w:r w:rsidRPr="008A1404">
              <w:rPr>
                <w:rFonts w:hint="cs"/>
                <w:rtl/>
              </w:rPr>
              <w:t>שתורכב</w:t>
            </w:r>
            <w:r w:rsidRPr="008A1404">
              <w:rPr>
                <w:rtl/>
              </w:rPr>
              <w:t xml:space="preserve"> </w:t>
            </w:r>
            <w:r w:rsidRPr="008A1404">
              <w:rPr>
                <w:rFonts w:hint="cs"/>
                <w:rtl/>
              </w:rPr>
              <w:t>מ</w:t>
            </w:r>
            <w:r w:rsidRPr="008A1404">
              <w:rPr>
                <w:rtl/>
              </w:rPr>
              <w:t>תשעה חברים:</w:t>
            </w:r>
          </w:p>
        </w:tc>
      </w:tr>
      <w:tr w:rsidR="00C9328F" w:rsidRPr="00911189" w14:paraId="1130557E" w14:textId="77777777" w:rsidTr="00E619CE">
        <w:trPr>
          <w:cantSplit/>
        </w:trPr>
        <w:tc>
          <w:tcPr>
            <w:tcW w:w="1871" w:type="dxa"/>
          </w:tcPr>
          <w:p w14:paraId="4DFE8B76" w14:textId="77777777" w:rsidR="00C9328F" w:rsidRPr="00911189" w:rsidRDefault="00C9328F" w:rsidP="00E619CE">
            <w:pPr>
              <w:pStyle w:val="TableSideHeading"/>
              <w:keepLines w:val="0"/>
              <w:rPr>
                <w:sz w:val="26"/>
                <w:rtl/>
              </w:rPr>
            </w:pPr>
          </w:p>
        </w:tc>
        <w:tc>
          <w:tcPr>
            <w:tcW w:w="624" w:type="dxa"/>
          </w:tcPr>
          <w:p w14:paraId="39390BE7" w14:textId="77777777" w:rsidR="00C9328F" w:rsidRPr="00911189" w:rsidRDefault="00C9328F" w:rsidP="00E619CE">
            <w:pPr>
              <w:pStyle w:val="TableText"/>
              <w:keepLines w:val="0"/>
              <w:rPr>
                <w:sz w:val="26"/>
                <w:rtl/>
              </w:rPr>
            </w:pPr>
          </w:p>
        </w:tc>
        <w:tc>
          <w:tcPr>
            <w:tcW w:w="624" w:type="dxa"/>
          </w:tcPr>
          <w:p w14:paraId="5C8A752F" w14:textId="77777777" w:rsidR="00C9328F" w:rsidRPr="008A1404" w:rsidRDefault="00C9328F" w:rsidP="00E619CE">
            <w:pPr>
              <w:pStyle w:val="TableText"/>
              <w:ind w:right="0"/>
              <w:jc w:val="both"/>
              <w:rPr>
                <w:rtl/>
              </w:rPr>
            </w:pPr>
          </w:p>
        </w:tc>
        <w:tc>
          <w:tcPr>
            <w:tcW w:w="6519" w:type="dxa"/>
          </w:tcPr>
          <w:p w14:paraId="46BE64DD" w14:textId="77777777" w:rsidR="00C9328F" w:rsidRPr="008A1404" w:rsidRDefault="00C9328F" w:rsidP="00E619CE">
            <w:pPr>
              <w:pStyle w:val="TableBlock"/>
              <w:rPr>
                <w:rtl/>
              </w:rPr>
            </w:pPr>
            <w:r w:rsidRPr="008A1404">
              <w:rPr>
                <w:rtl/>
              </w:rPr>
              <w:t>(1)</w:t>
            </w:r>
            <w:r w:rsidRPr="008A1404">
              <w:rPr>
                <w:rtl/>
              </w:rPr>
              <w:tab/>
              <w:t>הממונה והוא יהיה יושב ראש</w:t>
            </w:r>
            <w:r w:rsidRPr="008A1404">
              <w:rPr>
                <w:rFonts w:hint="cs"/>
                <w:rtl/>
              </w:rPr>
              <w:t xml:space="preserve"> הוועדה</w:t>
            </w:r>
            <w:r w:rsidRPr="008A1404">
              <w:rPr>
                <w:rtl/>
              </w:rPr>
              <w:t>;</w:t>
            </w:r>
          </w:p>
        </w:tc>
      </w:tr>
      <w:tr w:rsidR="00C9328F" w:rsidRPr="00911189" w14:paraId="76A899EF" w14:textId="77777777" w:rsidTr="00E619CE">
        <w:trPr>
          <w:cantSplit/>
        </w:trPr>
        <w:tc>
          <w:tcPr>
            <w:tcW w:w="1871" w:type="dxa"/>
          </w:tcPr>
          <w:p w14:paraId="064C8923" w14:textId="77777777" w:rsidR="00C9328F" w:rsidRPr="00911189" w:rsidRDefault="00C9328F" w:rsidP="00E619CE">
            <w:pPr>
              <w:pStyle w:val="TableSideHeading"/>
              <w:keepLines w:val="0"/>
              <w:rPr>
                <w:sz w:val="26"/>
                <w:rtl/>
              </w:rPr>
            </w:pPr>
          </w:p>
        </w:tc>
        <w:tc>
          <w:tcPr>
            <w:tcW w:w="624" w:type="dxa"/>
          </w:tcPr>
          <w:p w14:paraId="4135A655" w14:textId="77777777" w:rsidR="00C9328F" w:rsidRPr="00911189" w:rsidRDefault="00C9328F" w:rsidP="00E619CE">
            <w:pPr>
              <w:pStyle w:val="TableText"/>
              <w:keepLines w:val="0"/>
              <w:rPr>
                <w:sz w:val="26"/>
                <w:rtl/>
              </w:rPr>
            </w:pPr>
          </w:p>
        </w:tc>
        <w:tc>
          <w:tcPr>
            <w:tcW w:w="624" w:type="dxa"/>
          </w:tcPr>
          <w:p w14:paraId="423AE192" w14:textId="77777777" w:rsidR="00C9328F" w:rsidRPr="008A1404" w:rsidRDefault="00C9328F" w:rsidP="00E619CE">
            <w:pPr>
              <w:pStyle w:val="TableText"/>
              <w:ind w:right="0"/>
              <w:jc w:val="both"/>
              <w:rPr>
                <w:rtl/>
              </w:rPr>
            </w:pPr>
          </w:p>
        </w:tc>
        <w:tc>
          <w:tcPr>
            <w:tcW w:w="6519" w:type="dxa"/>
          </w:tcPr>
          <w:p w14:paraId="67EC7DF2" w14:textId="77777777" w:rsidR="00C9328F" w:rsidRPr="008A1404" w:rsidRDefault="00C9328F" w:rsidP="00E619CE">
            <w:pPr>
              <w:pStyle w:val="TableBlock"/>
              <w:rPr>
                <w:rtl/>
              </w:rPr>
            </w:pPr>
            <w:r w:rsidRPr="008A1404">
              <w:rPr>
                <w:rtl/>
              </w:rPr>
              <w:t>(2)</w:t>
            </w:r>
            <w:r w:rsidRPr="008A1404">
              <w:rPr>
                <w:rtl/>
              </w:rPr>
              <w:tab/>
              <w:t xml:space="preserve">נציג </w:t>
            </w:r>
            <w:r w:rsidRPr="008A1404">
              <w:rPr>
                <w:rFonts w:hint="cs"/>
                <w:rtl/>
              </w:rPr>
              <w:t>של</w:t>
            </w:r>
            <w:r w:rsidRPr="008A1404">
              <w:rPr>
                <w:rtl/>
              </w:rPr>
              <w:t xml:space="preserve"> משרד הכלכלה;</w:t>
            </w:r>
          </w:p>
        </w:tc>
      </w:tr>
      <w:tr w:rsidR="00C9328F" w:rsidRPr="00911189" w14:paraId="7F600598" w14:textId="77777777" w:rsidTr="00E619CE">
        <w:trPr>
          <w:cantSplit/>
        </w:trPr>
        <w:tc>
          <w:tcPr>
            <w:tcW w:w="1871" w:type="dxa"/>
          </w:tcPr>
          <w:p w14:paraId="3D264AAE" w14:textId="77777777" w:rsidR="00C9328F" w:rsidRPr="00911189" w:rsidRDefault="00C9328F" w:rsidP="00E619CE">
            <w:pPr>
              <w:pStyle w:val="TableSideHeading"/>
              <w:keepLines w:val="0"/>
              <w:rPr>
                <w:sz w:val="26"/>
                <w:rtl/>
              </w:rPr>
            </w:pPr>
          </w:p>
        </w:tc>
        <w:tc>
          <w:tcPr>
            <w:tcW w:w="624" w:type="dxa"/>
          </w:tcPr>
          <w:p w14:paraId="010BBB93" w14:textId="77777777" w:rsidR="00C9328F" w:rsidRPr="00911189" w:rsidRDefault="00C9328F" w:rsidP="00E619CE">
            <w:pPr>
              <w:pStyle w:val="TableText"/>
              <w:keepLines w:val="0"/>
              <w:rPr>
                <w:sz w:val="26"/>
                <w:rtl/>
              </w:rPr>
            </w:pPr>
          </w:p>
        </w:tc>
        <w:tc>
          <w:tcPr>
            <w:tcW w:w="624" w:type="dxa"/>
          </w:tcPr>
          <w:p w14:paraId="3A279905" w14:textId="77777777" w:rsidR="00C9328F" w:rsidRPr="008A1404" w:rsidRDefault="00C9328F" w:rsidP="00E619CE">
            <w:pPr>
              <w:pStyle w:val="TableText"/>
              <w:ind w:right="0"/>
              <w:jc w:val="both"/>
              <w:rPr>
                <w:rtl/>
              </w:rPr>
            </w:pPr>
          </w:p>
        </w:tc>
        <w:tc>
          <w:tcPr>
            <w:tcW w:w="6519" w:type="dxa"/>
          </w:tcPr>
          <w:p w14:paraId="1C262B83" w14:textId="77777777" w:rsidR="00C9328F" w:rsidRPr="008A1404" w:rsidRDefault="00C9328F" w:rsidP="00E619CE">
            <w:pPr>
              <w:pStyle w:val="TableBlock"/>
              <w:rPr>
                <w:rtl/>
              </w:rPr>
            </w:pPr>
            <w:r w:rsidRPr="008A1404">
              <w:rPr>
                <w:rtl/>
              </w:rPr>
              <w:t>(3)</w:t>
            </w:r>
            <w:r w:rsidRPr="008A1404">
              <w:rPr>
                <w:rtl/>
              </w:rPr>
              <w:tab/>
              <w:t xml:space="preserve">נציג </w:t>
            </w:r>
            <w:r w:rsidRPr="008A1404">
              <w:rPr>
                <w:rFonts w:hint="cs"/>
                <w:rtl/>
              </w:rPr>
              <w:t>של</w:t>
            </w:r>
            <w:r w:rsidRPr="008A1404">
              <w:rPr>
                <w:rtl/>
              </w:rPr>
              <w:t xml:space="preserve"> המשרד להגנת הסביבה;</w:t>
            </w:r>
          </w:p>
        </w:tc>
      </w:tr>
      <w:tr w:rsidR="00C9328F" w:rsidRPr="00911189" w14:paraId="22748CDA" w14:textId="77777777" w:rsidTr="00E619CE">
        <w:trPr>
          <w:cantSplit/>
        </w:trPr>
        <w:tc>
          <w:tcPr>
            <w:tcW w:w="1871" w:type="dxa"/>
          </w:tcPr>
          <w:p w14:paraId="21C3A396" w14:textId="77777777" w:rsidR="00C9328F" w:rsidRPr="00911189" w:rsidRDefault="00C9328F" w:rsidP="00E619CE">
            <w:pPr>
              <w:pStyle w:val="TableSideHeading"/>
              <w:keepLines w:val="0"/>
              <w:rPr>
                <w:sz w:val="26"/>
                <w:rtl/>
              </w:rPr>
            </w:pPr>
          </w:p>
        </w:tc>
        <w:tc>
          <w:tcPr>
            <w:tcW w:w="624" w:type="dxa"/>
          </w:tcPr>
          <w:p w14:paraId="696785A2" w14:textId="77777777" w:rsidR="00C9328F" w:rsidRPr="00911189" w:rsidRDefault="00C9328F" w:rsidP="00E619CE">
            <w:pPr>
              <w:pStyle w:val="TableText"/>
              <w:keepLines w:val="0"/>
              <w:rPr>
                <w:sz w:val="26"/>
                <w:rtl/>
              </w:rPr>
            </w:pPr>
          </w:p>
        </w:tc>
        <w:tc>
          <w:tcPr>
            <w:tcW w:w="624" w:type="dxa"/>
          </w:tcPr>
          <w:p w14:paraId="437E9761" w14:textId="77777777" w:rsidR="00C9328F" w:rsidRPr="008A1404" w:rsidRDefault="00C9328F" w:rsidP="00E619CE">
            <w:pPr>
              <w:pStyle w:val="TableText"/>
              <w:ind w:right="0"/>
              <w:jc w:val="both"/>
              <w:rPr>
                <w:rtl/>
              </w:rPr>
            </w:pPr>
          </w:p>
        </w:tc>
        <w:tc>
          <w:tcPr>
            <w:tcW w:w="6519" w:type="dxa"/>
          </w:tcPr>
          <w:p w14:paraId="6A8243EB" w14:textId="77777777" w:rsidR="00C9328F" w:rsidRPr="008A1404" w:rsidRDefault="00C9328F" w:rsidP="00E619CE">
            <w:pPr>
              <w:pStyle w:val="TableBlock"/>
              <w:rPr>
                <w:rtl/>
              </w:rPr>
            </w:pPr>
            <w:r w:rsidRPr="008A1404">
              <w:rPr>
                <w:rtl/>
              </w:rPr>
              <w:t>(4)</w:t>
            </w:r>
            <w:r w:rsidRPr="008A1404">
              <w:rPr>
                <w:rtl/>
              </w:rPr>
              <w:tab/>
              <w:t xml:space="preserve">נציג </w:t>
            </w:r>
            <w:r w:rsidRPr="008A1404">
              <w:rPr>
                <w:rFonts w:hint="cs"/>
                <w:rtl/>
              </w:rPr>
              <w:t>של</w:t>
            </w:r>
            <w:r w:rsidRPr="008A1404">
              <w:rPr>
                <w:rtl/>
              </w:rPr>
              <w:t xml:space="preserve"> משרד הרווחה;</w:t>
            </w:r>
          </w:p>
        </w:tc>
      </w:tr>
      <w:tr w:rsidR="00C9328F" w:rsidRPr="00911189" w14:paraId="723EB806" w14:textId="77777777" w:rsidTr="00E619CE">
        <w:trPr>
          <w:cantSplit/>
        </w:trPr>
        <w:tc>
          <w:tcPr>
            <w:tcW w:w="1871" w:type="dxa"/>
          </w:tcPr>
          <w:p w14:paraId="6C4C520C" w14:textId="77777777" w:rsidR="00C9328F" w:rsidRPr="00911189" w:rsidRDefault="00C9328F" w:rsidP="00E619CE">
            <w:pPr>
              <w:pStyle w:val="TableSideHeading"/>
              <w:keepLines w:val="0"/>
              <w:rPr>
                <w:sz w:val="26"/>
                <w:rtl/>
              </w:rPr>
            </w:pPr>
          </w:p>
        </w:tc>
        <w:tc>
          <w:tcPr>
            <w:tcW w:w="624" w:type="dxa"/>
          </w:tcPr>
          <w:p w14:paraId="46F481CE" w14:textId="77777777" w:rsidR="00C9328F" w:rsidRPr="00911189" w:rsidRDefault="00C9328F" w:rsidP="00E619CE">
            <w:pPr>
              <w:pStyle w:val="TableText"/>
              <w:keepLines w:val="0"/>
              <w:rPr>
                <w:sz w:val="26"/>
                <w:rtl/>
              </w:rPr>
            </w:pPr>
          </w:p>
        </w:tc>
        <w:tc>
          <w:tcPr>
            <w:tcW w:w="624" w:type="dxa"/>
          </w:tcPr>
          <w:p w14:paraId="2D24A7F5" w14:textId="77777777" w:rsidR="00C9328F" w:rsidRPr="008A1404" w:rsidRDefault="00C9328F" w:rsidP="00E619CE">
            <w:pPr>
              <w:pStyle w:val="TableText"/>
              <w:ind w:right="0"/>
              <w:jc w:val="both"/>
              <w:rPr>
                <w:rtl/>
              </w:rPr>
            </w:pPr>
          </w:p>
        </w:tc>
        <w:tc>
          <w:tcPr>
            <w:tcW w:w="6519" w:type="dxa"/>
          </w:tcPr>
          <w:p w14:paraId="724C3FF6" w14:textId="77777777" w:rsidR="00C9328F" w:rsidRPr="008A1404" w:rsidRDefault="00C9328F" w:rsidP="00E619CE">
            <w:pPr>
              <w:pStyle w:val="TableBlock"/>
              <w:rPr>
                <w:rtl/>
              </w:rPr>
            </w:pPr>
            <w:r w:rsidRPr="008A1404">
              <w:rPr>
                <w:rtl/>
              </w:rPr>
              <w:t>(5)</w:t>
            </w:r>
            <w:r w:rsidRPr="008A1404">
              <w:rPr>
                <w:rtl/>
              </w:rPr>
              <w:tab/>
              <w:t xml:space="preserve">נציג </w:t>
            </w:r>
            <w:r w:rsidRPr="008A1404">
              <w:rPr>
                <w:rFonts w:hint="cs"/>
                <w:rtl/>
              </w:rPr>
              <w:t xml:space="preserve">של </w:t>
            </w:r>
            <w:r w:rsidRPr="008A1404">
              <w:rPr>
                <w:rtl/>
              </w:rPr>
              <w:t>התאחדות התעשיינים;</w:t>
            </w:r>
          </w:p>
        </w:tc>
      </w:tr>
      <w:tr w:rsidR="00C9328F" w:rsidRPr="00911189" w14:paraId="66C53A4B" w14:textId="77777777" w:rsidTr="00E619CE">
        <w:trPr>
          <w:cantSplit/>
        </w:trPr>
        <w:tc>
          <w:tcPr>
            <w:tcW w:w="1871" w:type="dxa"/>
          </w:tcPr>
          <w:p w14:paraId="6B26C187" w14:textId="77777777" w:rsidR="00C9328F" w:rsidRPr="00911189" w:rsidRDefault="00C9328F" w:rsidP="00E619CE">
            <w:pPr>
              <w:pStyle w:val="TableSideHeading"/>
              <w:keepLines w:val="0"/>
              <w:rPr>
                <w:sz w:val="26"/>
                <w:rtl/>
              </w:rPr>
            </w:pPr>
          </w:p>
        </w:tc>
        <w:tc>
          <w:tcPr>
            <w:tcW w:w="624" w:type="dxa"/>
          </w:tcPr>
          <w:p w14:paraId="48DB41EB" w14:textId="77777777" w:rsidR="00C9328F" w:rsidRPr="00911189" w:rsidRDefault="00C9328F" w:rsidP="00E619CE">
            <w:pPr>
              <w:pStyle w:val="TableText"/>
              <w:keepLines w:val="0"/>
              <w:rPr>
                <w:sz w:val="26"/>
                <w:rtl/>
              </w:rPr>
            </w:pPr>
          </w:p>
        </w:tc>
        <w:tc>
          <w:tcPr>
            <w:tcW w:w="624" w:type="dxa"/>
          </w:tcPr>
          <w:p w14:paraId="1E7CA12D" w14:textId="77777777" w:rsidR="00C9328F" w:rsidRPr="008A1404" w:rsidRDefault="00C9328F" w:rsidP="00E619CE">
            <w:pPr>
              <w:pStyle w:val="TableText"/>
              <w:ind w:right="0"/>
              <w:jc w:val="both"/>
              <w:rPr>
                <w:rtl/>
              </w:rPr>
            </w:pPr>
          </w:p>
        </w:tc>
        <w:tc>
          <w:tcPr>
            <w:tcW w:w="6519" w:type="dxa"/>
          </w:tcPr>
          <w:p w14:paraId="2E3FF5CB" w14:textId="77777777" w:rsidR="00C9328F" w:rsidRPr="008A1404" w:rsidRDefault="00C9328F" w:rsidP="00E619CE">
            <w:pPr>
              <w:pStyle w:val="TableBlock"/>
              <w:rPr>
                <w:rtl/>
              </w:rPr>
            </w:pPr>
            <w:r w:rsidRPr="008A1404">
              <w:rPr>
                <w:rFonts w:hint="cs"/>
                <w:rtl/>
              </w:rPr>
              <w:t>(6) נציג של איגוד העובדים הגדול במשק;</w:t>
            </w:r>
          </w:p>
        </w:tc>
      </w:tr>
      <w:tr w:rsidR="00C9328F" w:rsidRPr="00911189" w14:paraId="10459938" w14:textId="77777777" w:rsidTr="00E619CE">
        <w:trPr>
          <w:cantSplit/>
        </w:trPr>
        <w:tc>
          <w:tcPr>
            <w:tcW w:w="1871" w:type="dxa"/>
          </w:tcPr>
          <w:p w14:paraId="375A4F60" w14:textId="77777777" w:rsidR="00C9328F" w:rsidRPr="00911189" w:rsidRDefault="00C9328F" w:rsidP="00E619CE">
            <w:pPr>
              <w:pStyle w:val="TableSideHeading"/>
              <w:keepLines w:val="0"/>
              <w:rPr>
                <w:sz w:val="26"/>
                <w:rtl/>
              </w:rPr>
            </w:pPr>
          </w:p>
        </w:tc>
        <w:tc>
          <w:tcPr>
            <w:tcW w:w="624" w:type="dxa"/>
          </w:tcPr>
          <w:p w14:paraId="1EA3E095" w14:textId="77777777" w:rsidR="00C9328F" w:rsidRPr="00911189" w:rsidRDefault="00C9328F" w:rsidP="00E619CE">
            <w:pPr>
              <w:pStyle w:val="TableText"/>
              <w:keepLines w:val="0"/>
              <w:rPr>
                <w:sz w:val="26"/>
                <w:rtl/>
              </w:rPr>
            </w:pPr>
          </w:p>
        </w:tc>
        <w:tc>
          <w:tcPr>
            <w:tcW w:w="624" w:type="dxa"/>
          </w:tcPr>
          <w:p w14:paraId="0FEB6B48" w14:textId="77777777" w:rsidR="00C9328F" w:rsidRPr="008A1404" w:rsidRDefault="00C9328F" w:rsidP="00E619CE">
            <w:pPr>
              <w:pStyle w:val="TableText"/>
              <w:ind w:right="0"/>
              <w:jc w:val="both"/>
              <w:rPr>
                <w:rtl/>
              </w:rPr>
            </w:pPr>
          </w:p>
        </w:tc>
        <w:tc>
          <w:tcPr>
            <w:tcW w:w="6519" w:type="dxa"/>
          </w:tcPr>
          <w:p w14:paraId="557F50A4" w14:textId="77777777" w:rsidR="00C9328F" w:rsidRPr="008A1404" w:rsidRDefault="00C9328F" w:rsidP="00E619CE">
            <w:pPr>
              <w:pStyle w:val="TableBlock"/>
              <w:rPr>
                <w:rtl/>
              </w:rPr>
            </w:pPr>
            <w:r w:rsidRPr="008A1404">
              <w:rPr>
                <w:rtl/>
              </w:rPr>
              <w:t>(</w:t>
            </w:r>
            <w:r>
              <w:rPr>
                <w:rFonts w:hint="cs"/>
                <w:rtl/>
              </w:rPr>
              <w:t>7</w:t>
            </w:r>
            <w:r w:rsidRPr="008A1404">
              <w:rPr>
                <w:rtl/>
              </w:rPr>
              <w:t>)</w:t>
            </w:r>
            <w:r w:rsidRPr="008A1404">
              <w:rPr>
                <w:rtl/>
              </w:rPr>
              <w:tab/>
              <w:t xml:space="preserve">שני נציגים </w:t>
            </w:r>
            <w:r w:rsidRPr="008A1404">
              <w:rPr>
                <w:rFonts w:hint="cs"/>
                <w:rtl/>
              </w:rPr>
              <w:t xml:space="preserve">של </w:t>
            </w:r>
            <w:r w:rsidRPr="008A1404">
              <w:rPr>
                <w:rtl/>
              </w:rPr>
              <w:t>מוסד מוכר</w:t>
            </w:r>
            <w:r w:rsidRPr="008A1404">
              <w:rPr>
                <w:rFonts w:hint="cs"/>
                <w:rtl/>
              </w:rPr>
              <w:t xml:space="preserve"> כהגדרתו בסעיף 9 לחוק המועצה להשכלה גבוהה </w:t>
            </w:r>
            <w:proofErr w:type="spellStart"/>
            <w:r w:rsidRPr="008A1404">
              <w:rPr>
                <w:rFonts w:hint="cs"/>
                <w:rtl/>
              </w:rPr>
              <w:t>ה</w:t>
            </w:r>
            <w:r w:rsidRPr="008A1404">
              <w:rPr>
                <w:rtl/>
              </w:rPr>
              <w:t>תשי"ח</w:t>
            </w:r>
            <w:proofErr w:type="spellEnd"/>
            <w:r w:rsidRPr="008A1404">
              <w:rPr>
                <w:rFonts w:hint="cs"/>
                <w:rtl/>
              </w:rPr>
              <w:t>–</w:t>
            </w:r>
            <w:r w:rsidRPr="008A1404">
              <w:rPr>
                <w:rtl/>
              </w:rPr>
              <w:t>1958</w:t>
            </w:r>
            <w:r w:rsidRPr="008A1404">
              <w:rPr>
                <w:rtl/>
              </w:rPr>
              <w:footnoteReference w:id="21"/>
            </w:r>
            <w:r w:rsidRPr="008A1404">
              <w:rPr>
                <w:rtl/>
              </w:rPr>
              <w:t>;</w:t>
            </w:r>
          </w:p>
        </w:tc>
      </w:tr>
      <w:tr w:rsidR="00C9328F" w:rsidRPr="00911189" w14:paraId="4BB89B5A" w14:textId="77777777" w:rsidTr="00E619CE">
        <w:trPr>
          <w:cantSplit/>
        </w:trPr>
        <w:tc>
          <w:tcPr>
            <w:tcW w:w="1871" w:type="dxa"/>
          </w:tcPr>
          <w:p w14:paraId="5913B390" w14:textId="77777777" w:rsidR="00C9328F" w:rsidRPr="00911189" w:rsidRDefault="00C9328F" w:rsidP="00E619CE">
            <w:pPr>
              <w:pStyle w:val="TableSideHeading"/>
              <w:keepLines w:val="0"/>
              <w:rPr>
                <w:sz w:val="26"/>
                <w:rtl/>
              </w:rPr>
            </w:pPr>
          </w:p>
        </w:tc>
        <w:tc>
          <w:tcPr>
            <w:tcW w:w="624" w:type="dxa"/>
          </w:tcPr>
          <w:p w14:paraId="63DC7A52" w14:textId="77777777" w:rsidR="00C9328F" w:rsidRPr="00911189" w:rsidRDefault="00C9328F" w:rsidP="00E619CE">
            <w:pPr>
              <w:pStyle w:val="TableText"/>
              <w:keepLines w:val="0"/>
              <w:rPr>
                <w:sz w:val="26"/>
                <w:rtl/>
              </w:rPr>
            </w:pPr>
          </w:p>
        </w:tc>
        <w:tc>
          <w:tcPr>
            <w:tcW w:w="624" w:type="dxa"/>
          </w:tcPr>
          <w:p w14:paraId="1C4D81EB" w14:textId="77777777" w:rsidR="00C9328F" w:rsidRPr="008A1404" w:rsidRDefault="00C9328F" w:rsidP="00E619CE">
            <w:pPr>
              <w:pStyle w:val="TableText"/>
              <w:ind w:right="0"/>
              <w:jc w:val="both"/>
              <w:rPr>
                <w:rtl/>
              </w:rPr>
            </w:pPr>
          </w:p>
        </w:tc>
        <w:tc>
          <w:tcPr>
            <w:tcW w:w="6519" w:type="dxa"/>
          </w:tcPr>
          <w:p w14:paraId="647DDDF3" w14:textId="77777777" w:rsidR="00C9328F" w:rsidRPr="008A1404" w:rsidRDefault="00C9328F" w:rsidP="00E619CE">
            <w:pPr>
              <w:pStyle w:val="TableBlock"/>
              <w:rPr>
                <w:rtl/>
              </w:rPr>
            </w:pPr>
            <w:r w:rsidRPr="008A1404">
              <w:rPr>
                <w:rtl/>
              </w:rPr>
              <w:t>(</w:t>
            </w:r>
            <w:r>
              <w:rPr>
                <w:rFonts w:hint="cs"/>
                <w:rtl/>
              </w:rPr>
              <w:t>8</w:t>
            </w:r>
            <w:r w:rsidRPr="008A1404">
              <w:rPr>
                <w:rtl/>
              </w:rPr>
              <w:t>)</w:t>
            </w:r>
            <w:r w:rsidRPr="008A1404">
              <w:rPr>
                <w:rtl/>
              </w:rPr>
              <w:tab/>
              <w:t xml:space="preserve">שני נציגי ציבור בעלי מומחיות בתחום האחריות </w:t>
            </w:r>
            <w:r>
              <w:rPr>
                <w:rFonts w:hint="cs"/>
                <w:rtl/>
              </w:rPr>
              <w:t>הסביבתית</w:t>
            </w:r>
            <w:r w:rsidRPr="008A1404">
              <w:rPr>
                <w:rtl/>
              </w:rPr>
              <w:t>.</w:t>
            </w:r>
          </w:p>
        </w:tc>
      </w:tr>
      <w:tr w:rsidR="00C9328F" w:rsidRPr="00911189" w14:paraId="20E66E4D" w14:textId="77777777" w:rsidTr="00E619CE">
        <w:trPr>
          <w:cantSplit/>
        </w:trPr>
        <w:tc>
          <w:tcPr>
            <w:tcW w:w="1871" w:type="dxa"/>
          </w:tcPr>
          <w:p w14:paraId="042CB101" w14:textId="77777777" w:rsidR="00C9328F" w:rsidRPr="00911189" w:rsidRDefault="00C9328F" w:rsidP="00E619CE">
            <w:pPr>
              <w:pStyle w:val="TableSideHeading"/>
              <w:keepLines w:val="0"/>
              <w:rPr>
                <w:sz w:val="26"/>
                <w:rtl/>
              </w:rPr>
            </w:pPr>
          </w:p>
        </w:tc>
        <w:tc>
          <w:tcPr>
            <w:tcW w:w="624" w:type="dxa"/>
          </w:tcPr>
          <w:p w14:paraId="418F16A8" w14:textId="77777777" w:rsidR="00C9328F" w:rsidRPr="00911189" w:rsidRDefault="00C9328F" w:rsidP="00E619CE">
            <w:pPr>
              <w:pStyle w:val="TableText"/>
              <w:keepLines w:val="0"/>
              <w:rPr>
                <w:sz w:val="26"/>
                <w:rtl/>
              </w:rPr>
            </w:pPr>
          </w:p>
        </w:tc>
        <w:tc>
          <w:tcPr>
            <w:tcW w:w="7143" w:type="dxa"/>
            <w:gridSpan w:val="2"/>
          </w:tcPr>
          <w:p w14:paraId="2964F3B7" w14:textId="77777777" w:rsidR="00C9328F" w:rsidRPr="008A1404" w:rsidRDefault="00C9328F" w:rsidP="00E619CE">
            <w:pPr>
              <w:pStyle w:val="TableBlock"/>
              <w:rPr>
                <w:rtl/>
              </w:rPr>
            </w:pPr>
            <w:r w:rsidRPr="008A1404">
              <w:rPr>
                <w:rtl/>
              </w:rPr>
              <w:t>(ב)</w:t>
            </w:r>
            <w:r w:rsidRPr="008A1404">
              <w:rPr>
                <w:rtl/>
              </w:rPr>
              <w:tab/>
              <w:t>הוועדה תקבע את סדרי דיוניה</w:t>
            </w:r>
            <w:r w:rsidRPr="008A1404">
              <w:rPr>
                <w:rFonts w:hint="cs"/>
                <w:rtl/>
              </w:rPr>
              <w:t xml:space="preserve">; הדיונים </w:t>
            </w:r>
            <w:r w:rsidRPr="008A1404">
              <w:rPr>
                <w:rtl/>
              </w:rPr>
              <w:t>יהיו פתוחים לציבור.</w:t>
            </w:r>
          </w:p>
        </w:tc>
      </w:tr>
      <w:tr w:rsidR="00C9328F" w:rsidRPr="00911189" w14:paraId="0A8D61E2" w14:textId="77777777" w:rsidTr="00E619CE">
        <w:trPr>
          <w:cantSplit/>
        </w:trPr>
        <w:tc>
          <w:tcPr>
            <w:tcW w:w="1871" w:type="dxa"/>
          </w:tcPr>
          <w:p w14:paraId="43224A00" w14:textId="77777777" w:rsidR="00C9328F" w:rsidRPr="00911189" w:rsidRDefault="00C9328F" w:rsidP="00E619CE">
            <w:pPr>
              <w:pStyle w:val="TableSideHeading"/>
              <w:keepLines w:val="0"/>
              <w:rPr>
                <w:sz w:val="26"/>
                <w:rtl/>
              </w:rPr>
            </w:pPr>
          </w:p>
        </w:tc>
        <w:tc>
          <w:tcPr>
            <w:tcW w:w="624" w:type="dxa"/>
          </w:tcPr>
          <w:p w14:paraId="157DCD86" w14:textId="77777777" w:rsidR="00C9328F" w:rsidRPr="00911189" w:rsidRDefault="00C9328F" w:rsidP="00E619CE">
            <w:pPr>
              <w:pStyle w:val="TableText"/>
              <w:keepLines w:val="0"/>
              <w:rPr>
                <w:sz w:val="26"/>
                <w:rtl/>
              </w:rPr>
            </w:pPr>
          </w:p>
        </w:tc>
        <w:tc>
          <w:tcPr>
            <w:tcW w:w="7143" w:type="dxa"/>
            <w:gridSpan w:val="2"/>
          </w:tcPr>
          <w:p w14:paraId="16425A42" w14:textId="77777777" w:rsidR="00C9328F" w:rsidRPr="008A1404" w:rsidRDefault="00C9328F" w:rsidP="00E619CE">
            <w:pPr>
              <w:pStyle w:val="TableBlock"/>
              <w:rPr>
                <w:rtl/>
              </w:rPr>
            </w:pPr>
            <w:r w:rsidRPr="008A1404">
              <w:rPr>
                <w:rtl/>
              </w:rPr>
              <w:t>(ג)</w:t>
            </w:r>
            <w:r w:rsidRPr="008A1404">
              <w:rPr>
                <w:rtl/>
              </w:rPr>
              <w:tab/>
            </w:r>
            <w:r w:rsidRPr="008A1404">
              <w:rPr>
                <w:rFonts w:hint="cs"/>
                <w:rtl/>
              </w:rPr>
              <w:t xml:space="preserve">לאחר שנת הדיווח הראשונה ולאחר מכן מידי שנתיים </w:t>
            </w:r>
            <w:r w:rsidRPr="008A1404">
              <w:rPr>
                <w:rtl/>
              </w:rPr>
              <w:t>ת</w:t>
            </w:r>
            <w:r w:rsidRPr="008A1404">
              <w:rPr>
                <w:rFonts w:hint="cs"/>
                <w:rtl/>
              </w:rPr>
              <w:t xml:space="preserve">בחן </w:t>
            </w:r>
            <w:r w:rsidRPr="008A1404">
              <w:rPr>
                <w:rtl/>
              </w:rPr>
              <w:t xml:space="preserve">הוועדה </w:t>
            </w:r>
            <w:r w:rsidRPr="008A1404">
              <w:rPr>
                <w:rFonts w:hint="cs"/>
                <w:rtl/>
              </w:rPr>
              <w:t xml:space="preserve">את </w:t>
            </w:r>
            <w:r w:rsidRPr="008A1404">
              <w:rPr>
                <w:rtl/>
              </w:rPr>
              <w:t xml:space="preserve">כללי </w:t>
            </w:r>
            <w:r w:rsidRPr="008A1404">
              <w:rPr>
                <w:rFonts w:hint="cs"/>
                <w:rtl/>
              </w:rPr>
              <w:t>ה</w:t>
            </w:r>
            <w:r w:rsidRPr="008A1404">
              <w:rPr>
                <w:rtl/>
              </w:rPr>
              <w:t>דיווח</w:t>
            </w:r>
            <w:r w:rsidRPr="008A1404">
              <w:rPr>
                <w:rFonts w:hint="cs"/>
                <w:rtl/>
              </w:rPr>
              <w:t xml:space="preserve"> המפורטים בתוספת </w:t>
            </w:r>
            <w:proofErr w:type="spellStart"/>
            <w:r w:rsidRPr="008A1404">
              <w:rPr>
                <w:rFonts w:hint="cs"/>
                <w:rtl/>
              </w:rPr>
              <w:t>השניה</w:t>
            </w:r>
            <w:proofErr w:type="spellEnd"/>
            <w:r w:rsidRPr="008A1404">
              <w:rPr>
                <w:rFonts w:hint="cs"/>
                <w:rtl/>
              </w:rPr>
              <w:t xml:space="preserve"> ותערוך בהם שינויים לפי הצורך ב</w:t>
            </w:r>
            <w:r w:rsidRPr="008A1404">
              <w:rPr>
                <w:rtl/>
              </w:rPr>
              <w:t>אישור השר ועדת הכלכלה של הכנסת</w:t>
            </w:r>
            <w:r w:rsidRPr="008A1404">
              <w:rPr>
                <w:rFonts w:hint="cs"/>
                <w:rtl/>
              </w:rPr>
              <w:t>.</w:t>
            </w:r>
          </w:p>
        </w:tc>
      </w:tr>
      <w:tr w:rsidR="00C9328F" w:rsidRPr="00911189" w14:paraId="4F9014A3" w14:textId="77777777" w:rsidTr="00E619CE">
        <w:trPr>
          <w:cantSplit/>
        </w:trPr>
        <w:tc>
          <w:tcPr>
            <w:tcW w:w="1871" w:type="dxa"/>
          </w:tcPr>
          <w:p w14:paraId="6CF0CEA6" w14:textId="77777777" w:rsidR="00C9328F" w:rsidRPr="00911189" w:rsidRDefault="00C9328F" w:rsidP="00E619CE">
            <w:pPr>
              <w:pStyle w:val="TableSideHeading"/>
              <w:ind w:right="0"/>
              <w:rPr>
                <w:sz w:val="26"/>
                <w:rtl/>
              </w:rPr>
            </w:pPr>
            <w:r>
              <w:rPr>
                <w:rFonts w:hint="cs"/>
                <w:sz w:val="26"/>
                <w:rtl/>
              </w:rPr>
              <w:t>הפרה</w:t>
            </w:r>
          </w:p>
        </w:tc>
        <w:tc>
          <w:tcPr>
            <w:tcW w:w="624" w:type="dxa"/>
          </w:tcPr>
          <w:p w14:paraId="6D34B54E" w14:textId="77777777" w:rsidR="00C9328F" w:rsidRPr="00911189" w:rsidRDefault="00C9328F" w:rsidP="00E619CE">
            <w:pPr>
              <w:pStyle w:val="TableText"/>
              <w:keepLines w:val="0"/>
              <w:rPr>
                <w:sz w:val="26"/>
                <w:rtl/>
              </w:rPr>
            </w:pPr>
            <w:r w:rsidRPr="00911189">
              <w:rPr>
                <w:rFonts w:hint="cs"/>
                <w:sz w:val="26"/>
                <w:rtl/>
              </w:rPr>
              <w:t>8.</w:t>
            </w:r>
          </w:p>
        </w:tc>
        <w:tc>
          <w:tcPr>
            <w:tcW w:w="7143" w:type="dxa"/>
            <w:gridSpan w:val="2"/>
          </w:tcPr>
          <w:p w14:paraId="1A1C6D0C" w14:textId="77777777" w:rsidR="00C9328F" w:rsidRPr="008A1404" w:rsidRDefault="00C9328F" w:rsidP="00E619CE">
            <w:pPr>
              <w:pStyle w:val="TableBlock"/>
              <w:rPr>
                <w:rtl/>
              </w:rPr>
            </w:pPr>
            <w:r w:rsidRPr="008A1404">
              <w:rPr>
                <w:rtl/>
              </w:rPr>
              <w:t>(א)</w:t>
            </w:r>
            <w:r w:rsidRPr="008A1404">
              <w:rPr>
                <w:rtl/>
              </w:rPr>
              <w:tab/>
              <w:t xml:space="preserve">חברה </w:t>
            </w:r>
            <w:r w:rsidRPr="008A1404">
              <w:rPr>
                <w:rFonts w:hint="cs"/>
                <w:rtl/>
              </w:rPr>
              <w:t>החייבת בדיווח</w:t>
            </w:r>
            <w:r w:rsidRPr="008A1404">
              <w:rPr>
                <w:rtl/>
              </w:rPr>
              <w:t xml:space="preserve"> שלא הגישה </w:t>
            </w:r>
            <w:r>
              <w:rPr>
                <w:rtl/>
              </w:rPr>
              <w:t>דוח</w:t>
            </w:r>
            <w:r w:rsidRPr="008A1404">
              <w:rPr>
                <w:rtl/>
              </w:rPr>
              <w:t xml:space="preserve"> </w:t>
            </w:r>
            <w:r w:rsidRPr="008A1404">
              <w:rPr>
                <w:rFonts w:hint="cs"/>
                <w:rtl/>
              </w:rPr>
              <w:t xml:space="preserve">לפי חוק זה דינה </w:t>
            </w:r>
            <w:r w:rsidRPr="008A1404">
              <w:rPr>
                <w:rtl/>
              </w:rPr>
              <w:t>–</w:t>
            </w:r>
            <w:r w:rsidRPr="008A1404">
              <w:rPr>
                <w:rFonts w:hint="cs"/>
                <w:rtl/>
              </w:rPr>
              <w:t xml:space="preserve"> קנס </w:t>
            </w:r>
            <w:r w:rsidRPr="008A1404">
              <w:rPr>
                <w:rtl/>
              </w:rPr>
              <w:t xml:space="preserve">בשיעור 1% </w:t>
            </w:r>
            <w:r w:rsidRPr="008A1404">
              <w:rPr>
                <w:rFonts w:hint="cs"/>
                <w:rtl/>
              </w:rPr>
              <w:t>מהרווח</w:t>
            </w:r>
            <w:r w:rsidRPr="008A1404">
              <w:rPr>
                <w:rtl/>
              </w:rPr>
              <w:t xml:space="preserve"> </w:t>
            </w:r>
            <w:r w:rsidRPr="008A1404">
              <w:rPr>
                <w:rFonts w:hint="cs"/>
                <w:rtl/>
              </w:rPr>
              <w:t xml:space="preserve">השנתי הכולל של החברה </w:t>
            </w:r>
            <w:r w:rsidRPr="008A1404">
              <w:rPr>
                <w:rtl/>
              </w:rPr>
              <w:t>כמשמעות</w:t>
            </w:r>
            <w:r w:rsidRPr="008A1404">
              <w:rPr>
                <w:rFonts w:hint="cs"/>
                <w:rtl/>
              </w:rPr>
              <w:t>ו</w:t>
            </w:r>
            <w:r w:rsidRPr="008A1404">
              <w:rPr>
                <w:rtl/>
              </w:rPr>
              <w:t xml:space="preserve"> בכללי החשבונאות המקובלים</w:t>
            </w:r>
            <w:r w:rsidRPr="008A1404">
              <w:rPr>
                <w:rFonts w:hint="cs"/>
                <w:rtl/>
              </w:rPr>
              <w:t>.</w:t>
            </w:r>
          </w:p>
        </w:tc>
      </w:tr>
      <w:tr w:rsidR="00C9328F" w:rsidRPr="00911189" w14:paraId="318792BF" w14:textId="77777777" w:rsidTr="00E619CE">
        <w:trPr>
          <w:cantSplit/>
        </w:trPr>
        <w:tc>
          <w:tcPr>
            <w:tcW w:w="1871" w:type="dxa"/>
          </w:tcPr>
          <w:p w14:paraId="6574A2A8" w14:textId="77777777" w:rsidR="00C9328F" w:rsidRPr="00911189" w:rsidRDefault="00C9328F" w:rsidP="00E619CE">
            <w:pPr>
              <w:pStyle w:val="TableSideHeading"/>
              <w:keepLines w:val="0"/>
              <w:rPr>
                <w:sz w:val="26"/>
                <w:rtl/>
              </w:rPr>
            </w:pPr>
          </w:p>
        </w:tc>
        <w:tc>
          <w:tcPr>
            <w:tcW w:w="624" w:type="dxa"/>
          </w:tcPr>
          <w:p w14:paraId="4690E105" w14:textId="77777777" w:rsidR="00C9328F" w:rsidRPr="00911189" w:rsidRDefault="00C9328F" w:rsidP="00E619CE">
            <w:pPr>
              <w:pStyle w:val="TableText"/>
              <w:keepLines w:val="0"/>
              <w:rPr>
                <w:sz w:val="26"/>
                <w:rtl/>
              </w:rPr>
            </w:pPr>
          </w:p>
        </w:tc>
        <w:tc>
          <w:tcPr>
            <w:tcW w:w="7143" w:type="dxa"/>
            <w:gridSpan w:val="2"/>
          </w:tcPr>
          <w:p w14:paraId="3F155C6D" w14:textId="77777777" w:rsidR="00C9328F" w:rsidRPr="008A1404" w:rsidRDefault="00C9328F" w:rsidP="00E619CE">
            <w:pPr>
              <w:pStyle w:val="TableBlock"/>
              <w:rPr>
                <w:rtl/>
              </w:rPr>
            </w:pPr>
            <w:r w:rsidRPr="008A1404">
              <w:rPr>
                <w:rtl/>
              </w:rPr>
              <w:t>(</w:t>
            </w:r>
            <w:r w:rsidRPr="008A1404">
              <w:rPr>
                <w:rFonts w:hint="cs"/>
                <w:rtl/>
              </w:rPr>
              <w:t>ב</w:t>
            </w:r>
            <w:r w:rsidRPr="008A1404">
              <w:rPr>
                <w:rtl/>
              </w:rPr>
              <w:t>)</w:t>
            </w:r>
            <w:r w:rsidRPr="008A1404">
              <w:rPr>
                <w:rtl/>
              </w:rPr>
              <w:tab/>
              <w:t xml:space="preserve">חברה </w:t>
            </w:r>
            <w:r w:rsidRPr="008A1404">
              <w:rPr>
                <w:rFonts w:hint="cs"/>
                <w:rtl/>
              </w:rPr>
              <w:t>החייבת בדיווח</w:t>
            </w:r>
            <w:r w:rsidRPr="008A1404">
              <w:rPr>
                <w:rtl/>
              </w:rPr>
              <w:t xml:space="preserve"> שלא הגישה </w:t>
            </w:r>
            <w:r>
              <w:rPr>
                <w:rtl/>
              </w:rPr>
              <w:t>דוח</w:t>
            </w:r>
            <w:r w:rsidRPr="008A1404">
              <w:rPr>
                <w:rtl/>
              </w:rPr>
              <w:t xml:space="preserve"> </w:t>
            </w:r>
            <w:r w:rsidRPr="008A1404">
              <w:rPr>
                <w:rFonts w:hint="cs"/>
                <w:rtl/>
              </w:rPr>
              <w:t xml:space="preserve">לפי חוק זה תפורסם </w:t>
            </w:r>
            <w:r w:rsidRPr="008A1404">
              <w:rPr>
                <w:rtl/>
              </w:rPr>
              <w:t>במאגר הדיווח</w:t>
            </w:r>
            <w:r w:rsidRPr="008A1404">
              <w:rPr>
                <w:rFonts w:hint="cs"/>
                <w:rtl/>
              </w:rPr>
              <w:t>;</w:t>
            </w:r>
            <w:r w:rsidRPr="008A1404">
              <w:rPr>
                <w:rtl/>
              </w:rPr>
              <w:t xml:space="preserve"> </w:t>
            </w:r>
            <w:r w:rsidRPr="008A1404">
              <w:rPr>
                <w:rFonts w:hint="cs"/>
                <w:rtl/>
              </w:rPr>
              <w:t>הפרסום</w:t>
            </w:r>
            <w:r w:rsidRPr="008A1404">
              <w:rPr>
                <w:rtl/>
              </w:rPr>
              <w:t xml:space="preserve"> יישמר במאגר לתקופה של שבע שנים. </w:t>
            </w:r>
          </w:p>
        </w:tc>
      </w:tr>
      <w:tr w:rsidR="00C9328F" w:rsidRPr="00911189" w14:paraId="44B2AE55" w14:textId="77777777" w:rsidTr="00E619CE">
        <w:trPr>
          <w:cantSplit/>
        </w:trPr>
        <w:tc>
          <w:tcPr>
            <w:tcW w:w="1871" w:type="dxa"/>
          </w:tcPr>
          <w:p w14:paraId="3915785D" w14:textId="77777777" w:rsidR="00C9328F" w:rsidRPr="00911189" w:rsidRDefault="00C9328F" w:rsidP="00E619CE">
            <w:pPr>
              <w:pStyle w:val="TableSideHeading"/>
              <w:keepLines w:val="0"/>
              <w:rPr>
                <w:sz w:val="26"/>
                <w:rtl/>
              </w:rPr>
            </w:pPr>
            <w:r w:rsidRPr="00911189">
              <w:rPr>
                <w:rFonts w:hint="cs"/>
                <w:sz w:val="26"/>
                <w:rtl/>
              </w:rPr>
              <w:t xml:space="preserve">יעוד </w:t>
            </w:r>
            <w:r>
              <w:rPr>
                <w:rFonts w:hint="cs"/>
                <w:sz w:val="26"/>
                <w:rtl/>
              </w:rPr>
              <w:t>ה</w:t>
            </w:r>
            <w:r w:rsidRPr="00911189">
              <w:rPr>
                <w:rFonts w:hint="cs"/>
                <w:sz w:val="26"/>
                <w:rtl/>
              </w:rPr>
              <w:t>כספים</w:t>
            </w:r>
          </w:p>
        </w:tc>
        <w:tc>
          <w:tcPr>
            <w:tcW w:w="624" w:type="dxa"/>
          </w:tcPr>
          <w:p w14:paraId="07B74C80" w14:textId="77777777" w:rsidR="00C9328F" w:rsidRPr="00911189" w:rsidRDefault="00C9328F" w:rsidP="00E619CE">
            <w:pPr>
              <w:pStyle w:val="TableText"/>
              <w:keepLines w:val="0"/>
              <w:rPr>
                <w:sz w:val="26"/>
                <w:rtl/>
              </w:rPr>
            </w:pPr>
            <w:r w:rsidRPr="00911189">
              <w:rPr>
                <w:rFonts w:hint="cs"/>
                <w:sz w:val="26"/>
                <w:rtl/>
              </w:rPr>
              <w:t>9.</w:t>
            </w:r>
          </w:p>
        </w:tc>
        <w:tc>
          <w:tcPr>
            <w:tcW w:w="7143" w:type="dxa"/>
            <w:gridSpan w:val="2"/>
          </w:tcPr>
          <w:p w14:paraId="1DFE6D45" w14:textId="77777777" w:rsidR="00C9328F" w:rsidRPr="008A1404" w:rsidRDefault="00C9328F" w:rsidP="00E619CE">
            <w:pPr>
              <w:pStyle w:val="TableBlock"/>
              <w:rPr>
                <w:rtl/>
              </w:rPr>
            </w:pPr>
            <w:r w:rsidRPr="008A1404">
              <w:rPr>
                <w:rFonts w:hint="cs"/>
                <w:rtl/>
              </w:rPr>
              <w:t>הממשלה תקים קרן לניהול כספים שהתקבלו מקנסות לפי חוק זה; כספי הקרן יועברו למטרות</w:t>
            </w:r>
            <w:r>
              <w:rPr>
                <w:rFonts w:hint="cs"/>
                <w:rtl/>
              </w:rPr>
              <w:t xml:space="preserve"> </w:t>
            </w:r>
            <w:r w:rsidRPr="008A1404">
              <w:rPr>
                <w:rFonts w:hint="cs"/>
                <w:rtl/>
              </w:rPr>
              <w:t>סביבתיות.</w:t>
            </w:r>
          </w:p>
        </w:tc>
      </w:tr>
      <w:tr w:rsidR="00C9328F" w:rsidRPr="00911189" w14:paraId="0F51E551" w14:textId="77777777" w:rsidTr="00E619CE">
        <w:trPr>
          <w:cantSplit/>
        </w:trPr>
        <w:tc>
          <w:tcPr>
            <w:tcW w:w="1871" w:type="dxa"/>
          </w:tcPr>
          <w:p w14:paraId="15D6CA8C" w14:textId="77777777" w:rsidR="00C9328F" w:rsidRPr="00911189" w:rsidRDefault="00C9328F" w:rsidP="00E619CE">
            <w:pPr>
              <w:pStyle w:val="TableSideHeading"/>
              <w:keepLines w:val="0"/>
              <w:rPr>
                <w:sz w:val="26"/>
                <w:rtl/>
              </w:rPr>
            </w:pPr>
            <w:r w:rsidRPr="00911189">
              <w:rPr>
                <w:sz w:val="26"/>
                <w:rtl/>
              </w:rPr>
              <w:t xml:space="preserve">השר הממונה </w:t>
            </w:r>
          </w:p>
        </w:tc>
        <w:tc>
          <w:tcPr>
            <w:tcW w:w="624" w:type="dxa"/>
          </w:tcPr>
          <w:p w14:paraId="6C252443" w14:textId="77777777" w:rsidR="00C9328F" w:rsidRPr="00911189" w:rsidRDefault="00C9328F" w:rsidP="00E619CE">
            <w:pPr>
              <w:pStyle w:val="TableText"/>
              <w:keepLines w:val="0"/>
              <w:rPr>
                <w:sz w:val="26"/>
                <w:rtl/>
              </w:rPr>
            </w:pPr>
            <w:r w:rsidRPr="00911189">
              <w:rPr>
                <w:rFonts w:hint="cs"/>
                <w:sz w:val="26"/>
                <w:rtl/>
              </w:rPr>
              <w:t>10.</w:t>
            </w:r>
          </w:p>
        </w:tc>
        <w:tc>
          <w:tcPr>
            <w:tcW w:w="7143" w:type="dxa"/>
            <w:gridSpan w:val="2"/>
          </w:tcPr>
          <w:p w14:paraId="67ED2283" w14:textId="77777777" w:rsidR="00C9328F" w:rsidRPr="008A1404" w:rsidRDefault="00C9328F" w:rsidP="00E619CE">
            <w:pPr>
              <w:pStyle w:val="TableBlock"/>
              <w:rPr>
                <w:rtl/>
              </w:rPr>
            </w:pPr>
            <w:r w:rsidRPr="008A1404">
              <w:rPr>
                <w:rtl/>
              </w:rPr>
              <w:t xml:space="preserve">שר </w:t>
            </w:r>
            <w:r w:rsidRPr="008A1404">
              <w:rPr>
                <w:rFonts w:hint="cs"/>
                <w:rtl/>
              </w:rPr>
              <w:t>המשפטים</w:t>
            </w:r>
            <w:r w:rsidRPr="008A1404">
              <w:rPr>
                <w:rtl/>
              </w:rPr>
              <w:t xml:space="preserve"> ממונה על ביצוע חוק זה והוא רשאי להתקין תקנות לביצועו.</w:t>
            </w:r>
          </w:p>
        </w:tc>
      </w:tr>
      <w:tr w:rsidR="00C9328F" w:rsidRPr="00911189" w14:paraId="4EC31BBE" w14:textId="77777777" w:rsidTr="00E619CE">
        <w:trPr>
          <w:cantSplit/>
        </w:trPr>
        <w:tc>
          <w:tcPr>
            <w:tcW w:w="1871" w:type="dxa"/>
          </w:tcPr>
          <w:p w14:paraId="53D71337" w14:textId="77777777" w:rsidR="00C9328F" w:rsidRPr="00911189" w:rsidRDefault="00C9328F" w:rsidP="00E619CE">
            <w:pPr>
              <w:pStyle w:val="TableSideHeading"/>
              <w:keepLines w:val="0"/>
              <w:rPr>
                <w:sz w:val="26"/>
                <w:rtl/>
              </w:rPr>
            </w:pPr>
            <w:r w:rsidRPr="00911189">
              <w:rPr>
                <w:rFonts w:hint="cs"/>
                <w:sz w:val="26"/>
                <w:rtl/>
              </w:rPr>
              <w:lastRenderedPageBreak/>
              <w:t>תחילה</w:t>
            </w:r>
          </w:p>
        </w:tc>
        <w:tc>
          <w:tcPr>
            <w:tcW w:w="624" w:type="dxa"/>
          </w:tcPr>
          <w:p w14:paraId="7D09070F" w14:textId="77777777" w:rsidR="00C9328F" w:rsidRPr="00911189" w:rsidRDefault="00C9328F" w:rsidP="00E619CE">
            <w:pPr>
              <w:pStyle w:val="TableText"/>
              <w:keepLines w:val="0"/>
              <w:rPr>
                <w:sz w:val="26"/>
                <w:rtl/>
              </w:rPr>
            </w:pPr>
            <w:r w:rsidRPr="00911189">
              <w:rPr>
                <w:rFonts w:hint="cs"/>
                <w:sz w:val="26"/>
                <w:rtl/>
              </w:rPr>
              <w:t>11.</w:t>
            </w:r>
          </w:p>
        </w:tc>
        <w:tc>
          <w:tcPr>
            <w:tcW w:w="7143" w:type="dxa"/>
            <w:gridSpan w:val="2"/>
          </w:tcPr>
          <w:p w14:paraId="5E60C1BC" w14:textId="77777777" w:rsidR="00C9328F" w:rsidRDefault="00C9328F" w:rsidP="00E619CE">
            <w:pPr>
              <w:pStyle w:val="TableBlock"/>
              <w:rPr>
                <w:rtl/>
              </w:rPr>
            </w:pPr>
            <w:r w:rsidRPr="008A1404">
              <w:rPr>
                <w:rFonts w:hint="cs"/>
                <w:rtl/>
              </w:rPr>
              <w:t>תחילתו של חוק זה</w:t>
            </w:r>
            <w:r w:rsidRPr="008A1404">
              <w:rPr>
                <w:rtl/>
              </w:rPr>
              <w:t xml:space="preserve"> ב</w:t>
            </w:r>
            <w:r w:rsidRPr="008A1404">
              <w:rPr>
                <w:rFonts w:hint="cs"/>
                <w:rtl/>
              </w:rPr>
              <w:t xml:space="preserve">יום ג' בטבת </w:t>
            </w:r>
            <w:proofErr w:type="spellStart"/>
            <w:r w:rsidRPr="008A1404">
              <w:rPr>
                <w:rFonts w:hint="cs"/>
                <w:rtl/>
              </w:rPr>
              <w:t>התש</w:t>
            </w:r>
            <w:r>
              <w:rPr>
                <w:rFonts w:hint="cs"/>
                <w:rtl/>
              </w:rPr>
              <w:t>פ״ב</w:t>
            </w:r>
            <w:proofErr w:type="spellEnd"/>
            <w:r>
              <w:rPr>
                <w:rFonts w:hint="cs"/>
                <w:rtl/>
              </w:rPr>
              <w:t xml:space="preserve"> </w:t>
            </w:r>
            <w:r w:rsidRPr="008A1404">
              <w:rPr>
                <w:rFonts w:hint="cs"/>
                <w:rtl/>
              </w:rPr>
              <w:t>(</w:t>
            </w:r>
            <w:r w:rsidRPr="008A1404">
              <w:rPr>
                <w:rtl/>
              </w:rPr>
              <w:t xml:space="preserve">1 בינואר </w:t>
            </w:r>
            <w:r>
              <w:rPr>
                <w:rFonts w:hint="cs"/>
                <w:rtl/>
              </w:rPr>
              <w:t>2022</w:t>
            </w:r>
            <w:r w:rsidRPr="008A1404">
              <w:rPr>
                <w:rFonts w:hint="cs"/>
                <w:rtl/>
              </w:rPr>
              <w:t>).</w:t>
            </w:r>
          </w:p>
          <w:p w14:paraId="40F529BB" w14:textId="77777777" w:rsidR="00C9328F" w:rsidRDefault="00C9328F" w:rsidP="00E619CE">
            <w:pPr>
              <w:pStyle w:val="TableBlock"/>
              <w:rPr>
                <w:rtl/>
              </w:rPr>
            </w:pPr>
          </w:p>
          <w:p w14:paraId="184EBC02" w14:textId="77777777" w:rsidR="00C9328F" w:rsidRDefault="00C9328F" w:rsidP="00E619CE">
            <w:pPr>
              <w:pStyle w:val="TableBlock"/>
              <w:rPr>
                <w:rtl/>
              </w:rPr>
            </w:pPr>
          </w:p>
          <w:p w14:paraId="1F8F60BC" w14:textId="77777777" w:rsidR="00C9328F" w:rsidRPr="00DB5910" w:rsidRDefault="00C9328F" w:rsidP="00E619CE">
            <w:pPr>
              <w:tabs>
                <w:tab w:val="left" w:pos="3640"/>
                <w:tab w:val="center" w:pos="4535"/>
              </w:tabs>
              <w:spacing w:line="360" w:lineRule="auto"/>
              <w:jc w:val="center"/>
              <w:rPr>
                <w:rFonts w:cs="David"/>
                <w:b/>
                <w:bCs/>
                <w:sz w:val="26"/>
                <w:szCs w:val="26"/>
                <w:rtl/>
              </w:rPr>
            </w:pPr>
            <w:r w:rsidRPr="00DB5910">
              <w:rPr>
                <w:rFonts w:cs="David" w:hint="cs"/>
                <w:b/>
                <w:bCs/>
                <w:sz w:val="26"/>
                <w:szCs w:val="26"/>
                <w:rtl/>
              </w:rPr>
              <w:t>תוספת ראשונה</w:t>
            </w:r>
          </w:p>
          <w:p w14:paraId="5A7ED520" w14:textId="77777777" w:rsidR="00C9328F" w:rsidRPr="00C3317B" w:rsidRDefault="00C9328F" w:rsidP="00E619CE">
            <w:pPr>
              <w:pStyle w:val="HeadDivreiHesber"/>
              <w:rPr>
                <w:sz w:val="26"/>
                <w:rtl/>
              </w:rPr>
            </w:pPr>
            <w:r w:rsidRPr="00DB5910">
              <w:rPr>
                <w:noProof/>
                <w:sz w:val="26"/>
                <w:lang w:eastAsia="en-US"/>
              </w:rPr>
              <w:drawing>
                <wp:inline distT="0" distB="0" distL="0" distR="0" wp14:anchorId="2151E8D5" wp14:editId="5E5DE641">
                  <wp:extent cx="809625" cy="782114"/>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815030" cy="787335"/>
                          </a:xfrm>
                          <a:prstGeom prst="rect">
                            <a:avLst/>
                          </a:prstGeom>
                        </pic:spPr>
                      </pic:pic>
                    </a:graphicData>
                  </a:graphic>
                </wp:inline>
              </w:drawing>
            </w:r>
          </w:p>
        </w:tc>
      </w:tr>
    </w:tbl>
    <w:p w14:paraId="2E0C302D" w14:textId="77777777" w:rsidR="00C9328F" w:rsidRPr="00DB5910" w:rsidRDefault="00C9328F" w:rsidP="00C9328F">
      <w:pPr>
        <w:pStyle w:val="HeadDivreiHesber"/>
        <w:rPr>
          <w:rFonts w:ascii="Hadasa Roso SL" w:eastAsia="MS Mincho" w:hAnsi="Hadasa Roso SL"/>
          <w:bCs/>
          <w:snapToGrid/>
          <w:spacing w:val="1"/>
          <w:sz w:val="26"/>
          <w:rtl/>
        </w:rPr>
      </w:pPr>
      <w:r w:rsidRPr="00DB5910">
        <w:rPr>
          <w:rFonts w:ascii="Hadasa Roso SL" w:eastAsia="MS Mincho" w:hAnsi="Hadasa Roso SL" w:hint="cs"/>
          <w:bCs/>
          <w:snapToGrid/>
          <w:spacing w:val="1"/>
          <w:sz w:val="26"/>
          <w:rtl/>
        </w:rPr>
        <w:t>תוספת שניה</w:t>
      </w:r>
    </w:p>
    <w:tbl>
      <w:tblPr>
        <w:tblStyle w:val="TableGrid"/>
        <w:bidiVisual/>
        <w:tblW w:w="10031" w:type="dxa"/>
        <w:tblLayout w:type="fixed"/>
        <w:tblLook w:val="04A0" w:firstRow="1" w:lastRow="0" w:firstColumn="1" w:lastColumn="0" w:noHBand="0" w:noVBand="1"/>
      </w:tblPr>
      <w:tblGrid>
        <w:gridCol w:w="1336"/>
        <w:gridCol w:w="5859"/>
        <w:gridCol w:w="2836"/>
      </w:tblGrid>
      <w:tr w:rsidR="00C9328F" w:rsidRPr="00DB5910" w14:paraId="6DFC8E99" w14:textId="77777777" w:rsidTr="00E619CE">
        <w:tc>
          <w:tcPr>
            <w:tcW w:w="1336" w:type="dxa"/>
          </w:tcPr>
          <w:p w14:paraId="24A0F442" w14:textId="77777777" w:rsidR="00C9328F" w:rsidRPr="00DB5910" w:rsidRDefault="00C9328F" w:rsidP="00E619CE">
            <w:pPr>
              <w:pStyle w:val="HeadDivreiHesber"/>
              <w:spacing w:before="0" w:after="0" w:line="276" w:lineRule="auto"/>
              <w:rPr>
                <w:rFonts w:ascii="Hadasa Roso SL" w:eastAsia="MS Mincho" w:hAnsi="Hadasa Roso SL"/>
                <w:bCs/>
                <w:snapToGrid/>
                <w:spacing w:val="1"/>
                <w:sz w:val="26"/>
                <w:rtl/>
              </w:rPr>
            </w:pPr>
            <w:r w:rsidRPr="00DB5910">
              <w:rPr>
                <w:rFonts w:ascii="Hadasa Roso SL" w:eastAsia="MS Mincho" w:hAnsi="Hadasa Roso SL" w:hint="cs"/>
                <w:bCs/>
                <w:snapToGrid/>
                <w:spacing w:val="1"/>
                <w:sz w:val="26"/>
                <w:rtl/>
              </w:rPr>
              <w:t>סעיף הדיווח</w:t>
            </w:r>
          </w:p>
        </w:tc>
        <w:tc>
          <w:tcPr>
            <w:tcW w:w="5859" w:type="dxa"/>
          </w:tcPr>
          <w:p w14:paraId="4DC74D82" w14:textId="77777777" w:rsidR="00C9328F" w:rsidRPr="00DB5910" w:rsidRDefault="00C9328F" w:rsidP="00E619CE">
            <w:pPr>
              <w:pStyle w:val="HeadDivreiHesber"/>
              <w:spacing w:before="0" w:after="0" w:line="276" w:lineRule="auto"/>
              <w:rPr>
                <w:rFonts w:ascii="Hadasa Roso SL" w:eastAsia="MS Mincho" w:hAnsi="Hadasa Roso SL"/>
                <w:bCs/>
                <w:snapToGrid/>
                <w:spacing w:val="1"/>
                <w:sz w:val="26"/>
                <w:rtl/>
              </w:rPr>
            </w:pPr>
            <w:r w:rsidRPr="00DB5910">
              <w:rPr>
                <w:rFonts w:ascii="Hadasa Roso SL" w:eastAsia="MS Mincho" w:hAnsi="Hadasa Roso SL" w:hint="cs"/>
                <w:bCs/>
                <w:snapToGrid/>
                <w:spacing w:val="1"/>
                <w:sz w:val="26"/>
                <w:rtl/>
              </w:rPr>
              <w:t>הנחיית הדיווח</w:t>
            </w:r>
          </w:p>
        </w:tc>
        <w:tc>
          <w:tcPr>
            <w:tcW w:w="2836" w:type="dxa"/>
          </w:tcPr>
          <w:p w14:paraId="71F563A4" w14:textId="77777777" w:rsidR="00C9328F" w:rsidRPr="00DB5910" w:rsidRDefault="00C9328F" w:rsidP="00E619CE">
            <w:pPr>
              <w:pStyle w:val="HeadDivreiHesber"/>
              <w:spacing w:before="0" w:after="0" w:line="276" w:lineRule="auto"/>
              <w:rPr>
                <w:rFonts w:ascii="Hadasa Roso SL" w:eastAsia="MS Mincho" w:hAnsi="Hadasa Roso SL"/>
                <w:bCs/>
                <w:snapToGrid/>
                <w:spacing w:val="1"/>
                <w:sz w:val="26"/>
                <w:rtl/>
              </w:rPr>
            </w:pPr>
            <w:r w:rsidRPr="00DB5910">
              <w:rPr>
                <w:rFonts w:ascii="Hadasa Roso SL" w:eastAsia="MS Mincho" w:hAnsi="Hadasa Roso SL" w:hint="cs"/>
                <w:bCs/>
                <w:snapToGrid/>
                <w:spacing w:val="1"/>
                <w:sz w:val="26"/>
                <w:rtl/>
              </w:rPr>
              <w:t>אופן המענה</w:t>
            </w:r>
          </w:p>
        </w:tc>
      </w:tr>
    </w:tbl>
    <w:p w14:paraId="0CF785E3" w14:textId="77777777" w:rsidR="00C9328F" w:rsidRPr="00DB5910" w:rsidRDefault="00C9328F" w:rsidP="00C9328F">
      <w:pPr>
        <w:ind w:firstLine="0"/>
        <w:rPr>
          <w:rFonts w:cs="David"/>
          <w:sz w:val="26"/>
          <w:szCs w:val="26"/>
        </w:rPr>
      </w:pPr>
    </w:p>
    <w:tbl>
      <w:tblPr>
        <w:tblStyle w:val="TableGrid"/>
        <w:bidiVisual/>
        <w:tblW w:w="10049" w:type="dxa"/>
        <w:tblLook w:val="04A0" w:firstRow="1" w:lastRow="0" w:firstColumn="1" w:lastColumn="0" w:noHBand="0" w:noVBand="1"/>
      </w:tblPr>
      <w:tblGrid>
        <w:gridCol w:w="1383"/>
        <w:gridCol w:w="5812"/>
        <w:gridCol w:w="2845"/>
        <w:gridCol w:w="9"/>
      </w:tblGrid>
      <w:tr w:rsidR="00C9328F" w:rsidRPr="00DB5910" w14:paraId="1023DF81" w14:textId="77777777" w:rsidTr="00E619CE">
        <w:tc>
          <w:tcPr>
            <w:tcW w:w="10049" w:type="dxa"/>
            <w:gridSpan w:val="4"/>
          </w:tcPr>
          <w:p w14:paraId="0ED80426" w14:textId="77777777" w:rsidR="00C9328F" w:rsidRPr="00DB5910" w:rsidRDefault="00C9328F" w:rsidP="00E619CE">
            <w:pPr>
              <w:widowControl/>
              <w:spacing w:before="0" w:line="240" w:lineRule="auto"/>
              <w:ind w:firstLine="0"/>
              <w:jc w:val="center"/>
              <w:textAlignment w:val="auto"/>
              <w:rPr>
                <w:rFonts w:cs="David"/>
                <w:b/>
                <w:bCs/>
                <w:sz w:val="26"/>
                <w:szCs w:val="26"/>
                <w:rtl/>
              </w:rPr>
            </w:pPr>
            <w:r w:rsidRPr="00DB5910">
              <w:rPr>
                <w:rFonts w:cs="David" w:hint="cs"/>
                <w:b/>
                <w:bCs/>
                <w:sz w:val="26"/>
                <w:szCs w:val="26"/>
                <w:rtl/>
              </w:rPr>
              <w:t>ביצועים סביבתיים</w:t>
            </w:r>
          </w:p>
        </w:tc>
      </w:tr>
      <w:tr w:rsidR="00C9328F" w:rsidRPr="00DB5910" w14:paraId="3EF0A355" w14:textId="77777777" w:rsidTr="00E619CE">
        <w:tc>
          <w:tcPr>
            <w:tcW w:w="10049" w:type="dxa"/>
            <w:gridSpan w:val="4"/>
          </w:tcPr>
          <w:p w14:paraId="4B420618"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ניהול סביבתי</w:t>
            </w:r>
          </w:p>
        </w:tc>
      </w:tr>
      <w:tr w:rsidR="00C9328F" w:rsidRPr="00DB5910" w14:paraId="0A000D2D" w14:textId="77777777" w:rsidTr="00E619CE">
        <w:trPr>
          <w:gridAfter w:val="1"/>
          <w:wAfter w:w="9" w:type="dxa"/>
        </w:trPr>
        <w:tc>
          <w:tcPr>
            <w:tcW w:w="1383" w:type="dxa"/>
          </w:tcPr>
          <w:p w14:paraId="30B6BAD6"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D2A7E1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לארגון מדיניות סביבתית?</w:t>
            </w:r>
          </w:p>
        </w:tc>
        <w:tc>
          <w:tcPr>
            <w:tcW w:w="2845" w:type="dxa"/>
          </w:tcPr>
          <w:p w14:paraId="1234ADE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399D743F" w14:textId="77777777" w:rsidTr="00E619CE">
        <w:trPr>
          <w:gridAfter w:val="1"/>
          <w:wAfter w:w="9" w:type="dxa"/>
        </w:trPr>
        <w:tc>
          <w:tcPr>
            <w:tcW w:w="1383" w:type="dxa"/>
          </w:tcPr>
          <w:p w14:paraId="3F0628CD"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A5815D0"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5049C87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קובץ מצורף</w:t>
            </w:r>
          </w:p>
        </w:tc>
      </w:tr>
      <w:tr w:rsidR="00C9328F" w:rsidRPr="00DB5910" w14:paraId="368190CB" w14:textId="77777777" w:rsidTr="00E619CE">
        <w:trPr>
          <w:gridAfter w:val="1"/>
          <w:wAfter w:w="9" w:type="dxa"/>
        </w:trPr>
        <w:tc>
          <w:tcPr>
            <w:tcW w:w="1383" w:type="dxa"/>
          </w:tcPr>
          <w:p w14:paraId="688172FF"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49257FDF"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 אין בנמצא מסמך מדיניות שכזה</w:t>
            </w:r>
          </w:p>
        </w:tc>
        <w:tc>
          <w:tcPr>
            <w:tcW w:w="2845" w:type="dxa"/>
          </w:tcPr>
          <w:p w14:paraId="3EA762A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3B372948" w14:textId="77777777" w:rsidTr="00E619CE">
        <w:trPr>
          <w:gridAfter w:val="1"/>
          <w:wAfter w:w="9" w:type="dxa"/>
        </w:trPr>
        <w:tc>
          <w:tcPr>
            <w:tcW w:w="1383" w:type="dxa"/>
          </w:tcPr>
          <w:p w14:paraId="239C7E96"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45B0F4D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יש לארגון ממונה איכות סביבה?</w:t>
            </w:r>
          </w:p>
        </w:tc>
        <w:tc>
          <w:tcPr>
            <w:tcW w:w="2845" w:type="dxa"/>
          </w:tcPr>
          <w:p w14:paraId="30AEC13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65255D51" w14:textId="77777777" w:rsidTr="00E619CE">
        <w:trPr>
          <w:gridAfter w:val="1"/>
          <w:wAfter w:w="9" w:type="dxa"/>
        </w:trPr>
        <w:tc>
          <w:tcPr>
            <w:tcW w:w="1383" w:type="dxa"/>
          </w:tcPr>
          <w:p w14:paraId="4E3781E0"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427E5C98"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מלאו פרטי איש קשר</w:t>
            </w:r>
          </w:p>
        </w:tc>
        <w:tc>
          <w:tcPr>
            <w:tcW w:w="2845" w:type="dxa"/>
          </w:tcPr>
          <w:p w14:paraId="04B3147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פרטי התקשרות</w:t>
            </w:r>
          </w:p>
        </w:tc>
      </w:tr>
      <w:tr w:rsidR="00C9328F" w:rsidRPr="00DB5910" w14:paraId="6373EFA1" w14:textId="77777777" w:rsidTr="00E619CE">
        <w:trPr>
          <w:gridAfter w:val="1"/>
          <w:wAfter w:w="9" w:type="dxa"/>
        </w:trPr>
        <w:tc>
          <w:tcPr>
            <w:tcW w:w="1383" w:type="dxa"/>
          </w:tcPr>
          <w:p w14:paraId="6579D3D3"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DC038F8"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האם לארגון תקן ניהול איכות סביבה </w:t>
            </w:r>
            <w:r w:rsidRPr="00DB5910">
              <w:rPr>
                <w:rFonts w:cs="David"/>
                <w:sz w:val="26"/>
                <w:szCs w:val="26"/>
              </w:rPr>
              <w:t>iso 14000</w:t>
            </w:r>
            <w:r w:rsidRPr="00DB5910">
              <w:rPr>
                <w:rFonts w:cs="David"/>
                <w:sz w:val="26"/>
                <w:szCs w:val="26"/>
                <w:rtl/>
              </w:rPr>
              <w:t xml:space="preserve"> </w:t>
            </w:r>
            <w:r w:rsidRPr="00DB5910">
              <w:rPr>
                <w:rFonts w:cs="David" w:hint="cs"/>
                <w:sz w:val="26"/>
                <w:szCs w:val="26"/>
                <w:rtl/>
              </w:rPr>
              <w:t>או תקן דומה / אחר ?</w:t>
            </w:r>
          </w:p>
        </w:tc>
        <w:tc>
          <w:tcPr>
            <w:tcW w:w="2845" w:type="dxa"/>
          </w:tcPr>
          <w:p w14:paraId="22564A7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59349003" w14:textId="77777777" w:rsidTr="00E619CE">
        <w:trPr>
          <w:gridAfter w:val="1"/>
          <w:wAfter w:w="9" w:type="dxa"/>
        </w:trPr>
        <w:tc>
          <w:tcPr>
            <w:tcW w:w="1383" w:type="dxa"/>
          </w:tcPr>
          <w:p w14:paraId="71BCCE00"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337C00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את תעודת ההתעדה</w:t>
            </w:r>
          </w:p>
        </w:tc>
        <w:tc>
          <w:tcPr>
            <w:tcW w:w="2845" w:type="dxa"/>
          </w:tcPr>
          <w:p w14:paraId="3CCE80E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קובץ מצ"ב</w:t>
            </w:r>
          </w:p>
        </w:tc>
      </w:tr>
      <w:tr w:rsidR="00C9328F" w:rsidRPr="00DB5910" w14:paraId="3032D006" w14:textId="77777777" w:rsidTr="00E619CE">
        <w:tc>
          <w:tcPr>
            <w:tcW w:w="10049" w:type="dxa"/>
            <w:gridSpan w:val="4"/>
          </w:tcPr>
          <w:p w14:paraId="5085985C"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כללי</w:t>
            </w:r>
          </w:p>
        </w:tc>
      </w:tr>
      <w:tr w:rsidR="00C9328F" w:rsidRPr="00DB5910" w14:paraId="5FB3140C" w14:textId="77777777" w:rsidTr="00E619CE">
        <w:trPr>
          <w:gridAfter w:val="1"/>
          <w:wAfter w:w="9" w:type="dxa"/>
        </w:trPr>
        <w:tc>
          <w:tcPr>
            <w:tcW w:w="1383" w:type="dxa"/>
          </w:tcPr>
          <w:p w14:paraId="28633E6A"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25E1FE2"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האם הארגון אמץ יוזמות סביבתיות לשיפור ביצועיו או מוצריו בתחום ו/ או ביצועי לקוחותיו? </w:t>
            </w:r>
          </w:p>
        </w:tc>
        <w:tc>
          <w:tcPr>
            <w:tcW w:w="2845" w:type="dxa"/>
          </w:tcPr>
          <w:p w14:paraId="6FF9DD7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/לא</w:t>
            </w:r>
          </w:p>
        </w:tc>
      </w:tr>
      <w:tr w:rsidR="00C9328F" w:rsidRPr="00DB5910" w14:paraId="2C6D79E1" w14:textId="77777777" w:rsidTr="00E619CE">
        <w:trPr>
          <w:gridAfter w:val="1"/>
          <w:wAfter w:w="9" w:type="dxa"/>
        </w:trPr>
        <w:tc>
          <w:tcPr>
            <w:tcW w:w="1383" w:type="dxa"/>
          </w:tcPr>
          <w:p w14:paraId="74150911"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609C2E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פרטו, כולל יעדים כמותיים</w:t>
            </w:r>
          </w:p>
        </w:tc>
        <w:tc>
          <w:tcPr>
            <w:tcW w:w="2845" w:type="dxa"/>
          </w:tcPr>
          <w:p w14:paraId="1F87810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7673F2B8" w14:textId="77777777" w:rsidTr="00E619CE">
        <w:trPr>
          <w:gridAfter w:val="1"/>
          <w:wAfter w:w="9" w:type="dxa"/>
        </w:trPr>
        <w:tc>
          <w:tcPr>
            <w:tcW w:w="1383" w:type="dxa"/>
          </w:tcPr>
          <w:p w14:paraId="7EE97723"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5D8C881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הארגון עוסק ב</w:t>
            </w:r>
            <w:r w:rsidRPr="00DB5910">
              <w:rPr>
                <w:rFonts w:cs="David"/>
                <w:sz w:val="26"/>
                <w:szCs w:val="26"/>
                <w:rtl/>
              </w:rPr>
              <w:t>פיתוח מוצרים ושירותים המועילים לסביבה</w:t>
            </w:r>
            <w:r w:rsidRPr="00DB5910">
              <w:rPr>
                <w:rFonts w:cs="David" w:hint="cs"/>
                <w:sz w:val="26"/>
                <w:szCs w:val="26"/>
                <w:rtl/>
              </w:rPr>
              <w:t>?</w:t>
            </w:r>
          </w:p>
        </w:tc>
        <w:tc>
          <w:tcPr>
            <w:tcW w:w="2845" w:type="dxa"/>
          </w:tcPr>
          <w:p w14:paraId="734D4599"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/לא</w:t>
            </w:r>
          </w:p>
        </w:tc>
      </w:tr>
      <w:tr w:rsidR="00C9328F" w:rsidRPr="00DB5910" w14:paraId="5FE1C7AF" w14:textId="77777777" w:rsidTr="00E619CE">
        <w:trPr>
          <w:gridAfter w:val="1"/>
          <w:wAfter w:w="9" w:type="dxa"/>
        </w:trPr>
        <w:tc>
          <w:tcPr>
            <w:tcW w:w="1383" w:type="dxa"/>
          </w:tcPr>
          <w:p w14:paraId="59336BA9"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24B6251D"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פרטו</w:t>
            </w:r>
          </w:p>
        </w:tc>
        <w:tc>
          <w:tcPr>
            <w:tcW w:w="2845" w:type="dxa"/>
          </w:tcPr>
          <w:p w14:paraId="7ABA808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35FA9E0F" w14:textId="77777777" w:rsidTr="00E619CE">
        <w:tc>
          <w:tcPr>
            <w:tcW w:w="10049" w:type="dxa"/>
            <w:gridSpan w:val="4"/>
          </w:tcPr>
          <w:p w14:paraId="73B65C2A"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b/>
                <w:bCs/>
                <w:sz w:val="26"/>
                <w:szCs w:val="26"/>
                <w:rtl/>
              </w:rPr>
              <w:t xml:space="preserve">תחבורה </w:t>
            </w:r>
          </w:p>
        </w:tc>
      </w:tr>
      <w:tr w:rsidR="00C9328F" w:rsidRPr="00DB5910" w14:paraId="04975E06" w14:textId="77777777" w:rsidTr="00E619CE">
        <w:trPr>
          <w:gridAfter w:val="1"/>
          <w:wAfter w:w="9" w:type="dxa"/>
        </w:trPr>
        <w:tc>
          <w:tcPr>
            <w:tcW w:w="1383" w:type="dxa"/>
          </w:tcPr>
          <w:p w14:paraId="6A8E8761"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8EC7D9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הארגון על מתקניו השונים נגישים להגעה בתחבורה ציבורית?</w:t>
            </w:r>
          </w:p>
        </w:tc>
        <w:tc>
          <w:tcPr>
            <w:tcW w:w="2845" w:type="dxa"/>
          </w:tcPr>
          <w:p w14:paraId="239ACC2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41263FB1" w14:textId="77777777" w:rsidTr="00E619CE">
        <w:trPr>
          <w:gridAfter w:val="1"/>
          <w:wAfter w:w="9" w:type="dxa"/>
        </w:trPr>
        <w:tc>
          <w:tcPr>
            <w:tcW w:w="1383" w:type="dxa"/>
          </w:tcPr>
          <w:p w14:paraId="3DFEBBD6"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078C84C"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לארגון מדיניות בנושא עידוד תחבורה חלופית? למשל עידוד נסיעה משותפת ברכבים, התקנת לוקרים ומקלחות עבור נוסעים באופניים</w:t>
            </w:r>
          </w:p>
        </w:tc>
        <w:tc>
          <w:tcPr>
            <w:tcW w:w="2845" w:type="dxa"/>
          </w:tcPr>
          <w:p w14:paraId="64A8F75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621FD9B7" w14:textId="77777777" w:rsidTr="00E619CE">
        <w:trPr>
          <w:gridAfter w:val="1"/>
          <w:wAfter w:w="9" w:type="dxa"/>
        </w:trPr>
        <w:tc>
          <w:tcPr>
            <w:tcW w:w="1383" w:type="dxa"/>
          </w:tcPr>
          <w:p w14:paraId="736636C6"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3350431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292A9842"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קובץ מצורף</w:t>
            </w:r>
          </w:p>
        </w:tc>
      </w:tr>
      <w:tr w:rsidR="00C9328F" w:rsidRPr="00DB5910" w14:paraId="1D5D59C6" w14:textId="77777777" w:rsidTr="00E619CE">
        <w:trPr>
          <w:gridAfter w:val="1"/>
          <w:wAfter w:w="9" w:type="dxa"/>
        </w:trPr>
        <w:tc>
          <w:tcPr>
            <w:tcW w:w="1383" w:type="dxa"/>
          </w:tcPr>
          <w:p w14:paraId="7AF03517"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C31BDF8"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 אין בנמצא מסמך מדיניות שכזה</w:t>
            </w:r>
          </w:p>
        </w:tc>
        <w:tc>
          <w:tcPr>
            <w:tcW w:w="2845" w:type="dxa"/>
          </w:tcPr>
          <w:p w14:paraId="4B51D4C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478E73DD" w14:textId="77777777" w:rsidTr="00E619CE">
        <w:trPr>
          <w:gridAfter w:val="1"/>
          <w:wAfter w:w="9" w:type="dxa"/>
        </w:trPr>
        <w:tc>
          <w:tcPr>
            <w:tcW w:w="1383" w:type="dxa"/>
          </w:tcPr>
          <w:p w14:paraId="2149B53B"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23BA6A08"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כיצד מתבצע שינוע של חומרי גלם ומוצרי גמר? האם לארגון מדיניות בנושא זה?</w:t>
            </w:r>
          </w:p>
        </w:tc>
        <w:tc>
          <w:tcPr>
            <w:tcW w:w="2845" w:type="dxa"/>
          </w:tcPr>
          <w:p w14:paraId="4182875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כן / לא</w:t>
            </w:r>
          </w:p>
        </w:tc>
      </w:tr>
      <w:tr w:rsidR="00C9328F" w:rsidRPr="00DB5910" w14:paraId="69548017" w14:textId="77777777" w:rsidTr="00E619CE">
        <w:trPr>
          <w:gridAfter w:val="1"/>
          <w:wAfter w:w="9" w:type="dxa"/>
        </w:trPr>
        <w:tc>
          <w:tcPr>
            <w:tcW w:w="1383" w:type="dxa"/>
          </w:tcPr>
          <w:p w14:paraId="3EFFB0AA"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2293941"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3286681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קובץ מצורף</w:t>
            </w:r>
          </w:p>
        </w:tc>
      </w:tr>
      <w:tr w:rsidR="00C9328F" w:rsidRPr="00DB5910" w14:paraId="0A145CE0" w14:textId="77777777" w:rsidTr="00E619CE">
        <w:trPr>
          <w:gridAfter w:val="1"/>
          <w:wAfter w:w="9" w:type="dxa"/>
        </w:trPr>
        <w:tc>
          <w:tcPr>
            <w:tcW w:w="1383" w:type="dxa"/>
          </w:tcPr>
          <w:p w14:paraId="69C2D99B"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322F4AF"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 אין בנמצא מסמך מדיניות שכזה</w:t>
            </w:r>
          </w:p>
        </w:tc>
        <w:tc>
          <w:tcPr>
            <w:tcW w:w="2845" w:type="dxa"/>
          </w:tcPr>
          <w:p w14:paraId="1F11D490"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3AE444BE" w14:textId="77777777" w:rsidTr="00E619CE">
        <w:trPr>
          <w:gridAfter w:val="1"/>
          <w:wAfter w:w="9" w:type="dxa"/>
        </w:trPr>
        <w:tc>
          <w:tcPr>
            <w:tcW w:w="1383" w:type="dxa"/>
          </w:tcPr>
          <w:p w14:paraId="4A3BB891"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0247F8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האם נעשים מאמצים לייעל את תהליכי השינוע השונים? </w:t>
            </w:r>
            <w:r>
              <w:rPr>
                <w:rFonts w:cs="David" w:hint="cs"/>
                <w:sz w:val="26"/>
                <w:szCs w:val="26"/>
                <w:rtl/>
              </w:rPr>
              <w:t>נא</w:t>
            </w:r>
            <w:r w:rsidRPr="00DB5910">
              <w:rPr>
                <w:rFonts w:cs="David" w:hint="cs"/>
                <w:sz w:val="26"/>
                <w:szCs w:val="26"/>
                <w:rtl/>
              </w:rPr>
              <w:t xml:space="preserve"> פרטו</w:t>
            </w:r>
          </w:p>
        </w:tc>
        <w:tc>
          <w:tcPr>
            <w:tcW w:w="2845" w:type="dxa"/>
          </w:tcPr>
          <w:p w14:paraId="433DF4C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 + טקסט</w:t>
            </w:r>
          </w:p>
        </w:tc>
      </w:tr>
      <w:tr w:rsidR="00C9328F" w:rsidRPr="00DB5910" w14:paraId="1BCFB231" w14:textId="77777777" w:rsidTr="00E619CE">
        <w:tc>
          <w:tcPr>
            <w:tcW w:w="10049" w:type="dxa"/>
            <w:gridSpan w:val="4"/>
          </w:tcPr>
          <w:p w14:paraId="622E0DA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lastRenderedPageBreak/>
              <w:t>אנרגיה</w:t>
            </w:r>
          </w:p>
        </w:tc>
      </w:tr>
      <w:tr w:rsidR="00C9328F" w:rsidRPr="00DB5910" w14:paraId="12926417" w14:textId="77777777" w:rsidTr="00E619CE">
        <w:trPr>
          <w:gridAfter w:val="1"/>
          <w:wAfter w:w="9" w:type="dxa"/>
        </w:trPr>
        <w:tc>
          <w:tcPr>
            <w:tcW w:w="1383" w:type="dxa"/>
          </w:tcPr>
          <w:p w14:paraId="09F3BD73"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6B7885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מהם מקורות האנרגיה של הארגון? </w:t>
            </w:r>
            <w:r>
              <w:rPr>
                <w:rFonts w:cs="David" w:hint="cs"/>
                <w:sz w:val="26"/>
                <w:szCs w:val="26"/>
                <w:rtl/>
              </w:rPr>
              <w:t>נא</w:t>
            </w:r>
            <w:r w:rsidRPr="00DB5910">
              <w:rPr>
                <w:rFonts w:cs="David" w:hint="cs"/>
                <w:sz w:val="26"/>
                <w:szCs w:val="26"/>
                <w:rtl/>
              </w:rPr>
              <w:t xml:space="preserve"> פרטו</w:t>
            </w:r>
          </w:p>
        </w:tc>
        <w:tc>
          <w:tcPr>
            <w:tcW w:w="2845" w:type="dxa"/>
          </w:tcPr>
          <w:p w14:paraId="29F762B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580B95D9" w14:textId="77777777" w:rsidTr="00E619CE">
        <w:trPr>
          <w:gridAfter w:val="1"/>
          <w:wAfter w:w="9" w:type="dxa"/>
        </w:trPr>
        <w:tc>
          <w:tcPr>
            <w:tcW w:w="1383" w:type="dxa"/>
          </w:tcPr>
          <w:p w14:paraId="151691E3"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1DE7688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נעשים מאמצים להתייעלות אנרגטית?</w:t>
            </w:r>
          </w:p>
        </w:tc>
        <w:tc>
          <w:tcPr>
            <w:tcW w:w="2845" w:type="dxa"/>
          </w:tcPr>
          <w:p w14:paraId="51A23D0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2A88BB32" w14:textId="77777777" w:rsidTr="00E619CE">
        <w:trPr>
          <w:gridAfter w:val="1"/>
          <w:wAfter w:w="9" w:type="dxa"/>
        </w:trPr>
        <w:tc>
          <w:tcPr>
            <w:tcW w:w="1383" w:type="dxa"/>
          </w:tcPr>
          <w:p w14:paraId="4F80860A"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10A3102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5AAFEFA0"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קובץ מצורף</w:t>
            </w:r>
          </w:p>
        </w:tc>
      </w:tr>
      <w:tr w:rsidR="00C9328F" w:rsidRPr="00DB5910" w14:paraId="551524FA" w14:textId="77777777" w:rsidTr="00E619CE">
        <w:trPr>
          <w:gridAfter w:val="1"/>
          <w:wAfter w:w="9" w:type="dxa"/>
        </w:trPr>
        <w:tc>
          <w:tcPr>
            <w:tcW w:w="1383" w:type="dxa"/>
          </w:tcPr>
          <w:p w14:paraId="5A82407C"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51F0AE49"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 אין בנמצא מסמך מדיניות שכזה</w:t>
            </w:r>
          </w:p>
        </w:tc>
        <w:tc>
          <w:tcPr>
            <w:tcW w:w="2845" w:type="dxa"/>
          </w:tcPr>
          <w:p w14:paraId="195B0D2D"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3D09B012" w14:textId="77777777" w:rsidTr="00E619CE">
        <w:tc>
          <w:tcPr>
            <w:tcW w:w="10049" w:type="dxa"/>
            <w:gridSpan w:val="4"/>
          </w:tcPr>
          <w:p w14:paraId="27387C6A"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מדרך פחמני</w:t>
            </w:r>
          </w:p>
        </w:tc>
      </w:tr>
      <w:tr w:rsidR="00C9328F" w:rsidRPr="00DB5910" w14:paraId="10FC1ACE" w14:textId="77777777" w:rsidTr="00E619CE">
        <w:trPr>
          <w:gridAfter w:val="1"/>
          <w:wAfter w:w="9" w:type="dxa"/>
        </w:trPr>
        <w:tc>
          <w:tcPr>
            <w:tcW w:w="1383" w:type="dxa"/>
          </w:tcPr>
          <w:p w14:paraId="37B479E8"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21B58B2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הארגון מודד את טביעת הרגל הפחמנית /מדרך פחמני שלו?</w:t>
            </w:r>
          </w:p>
        </w:tc>
        <w:tc>
          <w:tcPr>
            <w:tcW w:w="2845" w:type="dxa"/>
          </w:tcPr>
          <w:p w14:paraId="4CA92BA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2A9B05E7" w14:textId="77777777" w:rsidTr="00E619CE">
        <w:trPr>
          <w:gridAfter w:val="1"/>
          <w:wAfter w:w="9" w:type="dxa"/>
        </w:trPr>
        <w:tc>
          <w:tcPr>
            <w:tcW w:w="1383" w:type="dxa"/>
          </w:tcPr>
          <w:p w14:paraId="329D1DB7"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5089B6E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מהו המדרך הפחמני של הארגון עבור התקופה המדווחת ? (יש לחשב בהתאם למרשם הפחמן של המשרד להגנת הסביבה ולכלול את סקופ 1 + סקופ 2)</w:t>
            </w:r>
          </w:p>
        </w:tc>
        <w:tc>
          <w:tcPr>
            <w:tcW w:w="2845" w:type="dxa"/>
          </w:tcPr>
          <w:p w14:paraId="4E3A389F" w14:textId="77777777" w:rsidR="00C9328F" w:rsidRPr="00DB5910" w:rsidRDefault="00C9328F" w:rsidP="00E619CE">
            <w:pPr>
              <w:widowControl/>
              <w:spacing w:before="0" w:line="240" w:lineRule="auto"/>
              <w:ind w:firstLine="0"/>
              <w:jc w:val="left"/>
              <w:textAlignment w:val="auto"/>
              <w:rPr>
                <w:rFonts w:cs="David"/>
                <w:sz w:val="26"/>
                <w:szCs w:val="26"/>
              </w:rPr>
            </w:pPr>
            <w:r w:rsidRPr="00DB5910">
              <w:rPr>
                <w:rFonts w:cs="David" w:hint="cs"/>
                <w:sz w:val="26"/>
                <w:szCs w:val="26"/>
                <w:rtl/>
              </w:rPr>
              <w:t xml:space="preserve">מספר בשווה ערך פחמן דו חמצני </w:t>
            </w:r>
            <w:r w:rsidRPr="00DB5910">
              <w:rPr>
                <w:rFonts w:cs="David"/>
                <w:sz w:val="26"/>
                <w:szCs w:val="26"/>
              </w:rPr>
              <w:t>CO2e</w:t>
            </w:r>
          </w:p>
        </w:tc>
      </w:tr>
      <w:tr w:rsidR="00C9328F" w:rsidRPr="00DB5910" w14:paraId="52E834E6" w14:textId="77777777" w:rsidTr="00E619CE">
        <w:trPr>
          <w:gridAfter w:val="1"/>
          <w:wAfter w:w="9" w:type="dxa"/>
        </w:trPr>
        <w:tc>
          <w:tcPr>
            <w:tcW w:w="1383" w:type="dxa"/>
          </w:tcPr>
          <w:p w14:paraId="183E361A"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25AE4C5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 הארגון לא מבצע את המדידה</w:t>
            </w:r>
          </w:p>
        </w:tc>
        <w:tc>
          <w:tcPr>
            <w:tcW w:w="2845" w:type="dxa"/>
          </w:tcPr>
          <w:p w14:paraId="2AB3E86C"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56D8B4E7" w14:textId="77777777" w:rsidTr="00E619CE">
        <w:tc>
          <w:tcPr>
            <w:tcW w:w="10049" w:type="dxa"/>
            <w:gridSpan w:val="4"/>
          </w:tcPr>
          <w:p w14:paraId="31424834"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מים</w:t>
            </w:r>
          </w:p>
        </w:tc>
      </w:tr>
      <w:tr w:rsidR="00C9328F" w:rsidRPr="00DB5910" w14:paraId="02C72908" w14:textId="77777777" w:rsidTr="00E619CE">
        <w:trPr>
          <w:gridAfter w:val="1"/>
          <w:wAfter w:w="9" w:type="dxa"/>
        </w:trPr>
        <w:tc>
          <w:tcPr>
            <w:tcW w:w="1383" w:type="dxa"/>
          </w:tcPr>
          <w:p w14:paraId="52A0DCBB"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040D179"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מהו סך צריכת המים של הארגון?</w:t>
            </w:r>
          </w:p>
        </w:tc>
        <w:tc>
          <w:tcPr>
            <w:tcW w:w="2845" w:type="dxa"/>
          </w:tcPr>
          <w:p w14:paraId="51B0B2C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מספר בליטר</w:t>
            </w:r>
          </w:p>
        </w:tc>
      </w:tr>
      <w:tr w:rsidR="00C9328F" w:rsidRPr="00DB5910" w14:paraId="046D798D" w14:textId="77777777" w:rsidTr="00E619CE">
        <w:trPr>
          <w:gridAfter w:val="1"/>
          <w:wAfter w:w="9" w:type="dxa"/>
        </w:trPr>
        <w:tc>
          <w:tcPr>
            <w:tcW w:w="1383" w:type="dxa"/>
          </w:tcPr>
          <w:p w14:paraId="2D7DC444"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4CDF2C90"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הארגון משפיע בצריכתו זו על מקורות מים טבעיים ?</w:t>
            </w:r>
          </w:p>
        </w:tc>
        <w:tc>
          <w:tcPr>
            <w:tcW w:w="2845" w:type="dxa"/>
          </w:tcPr>
          <w:p w14:paraId="28BD623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41DBEAC5" w14:textId="77777777" w:rsidTr="00E619CE">
        <w:trPr>
          <w:gridAfter w:val="1"/>
          <w:wAfter w:w="9" w:type="dxa"/>
        </w:trPr>
        <w:tc>
          <w:tcPr>
            <w:tcW w:w="1383" w:type="dxa"/>
          </w:tcPr>
          <w:p w14:paraId="76DCD815"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115A90DF"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פרטו</w:t>
            </w:r>
          </w:p>
        </w:tc>
        <w:tc>
          <w:tcPr>
            <w:tcW w:w="2845" w:type="dxa"/>
          </w:tcPr>
          <w:p w14:paraId="5A747C93"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1D592D24" w14:textId="77777777" w:rsidTr="00E619CE">
        <w:trPr>
          <w:gridAfter w:val="1"/>
          <w:wAfter w:w="9" w:type="dxa"/>
        </w:trPr>
        <w:tc>
          <w:tcPr>
            <w:tcW w:w="1383" w:type="dxa"/>
          </w:tcPr>
          <w:p w14:paraId="2CCA5977"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9D6F229" w14:textId="77777777" w:rsidR="00C9328F" w:rsidRPr="00DB5910" w:rsidRDefault="00C9328F" w:rsidP="00E619CE">
            <w:pPr>
              <w:widowControl/>
              <w:spacing w:before="0" w:line="240" w:lineRule="auto"/>
              <w:ind w:firstLine="0"/>
              <w:jc w:val="left"/>
              <w:textAlignment w:val="auto"/>
              <w:rPr>
                <w:rFonts w:cs="David"/>
                <w:sz w:val="26"/>
                <w:szCs w:val="26"/>
                <w:rtl/>
              </w:rPr>
            </w:pPr>
            <w:r>
              <w:rPr>
                <w:rFonts w:cs="David" w:hint="cs"/>
                <w:sz w:val="26"/>
                <w:szCs w:val="26"/>
                <w:rtl/>
              </w:rPr>
              <w:t>נא</w:t>
            </w:r>
            <w:r w:rsidRPr="00DB5910">
              <w:rPr>
                <w:rFonts w:cs="David" w:hint="cs"/>
                <w:sz w:val="26"/>
                <w:szCs w:val="26"/>
                <w:rtl/>
              </w:rPr>
              <w:t xml:space="preserve"> הסבירו תשובתכם ואם כן </w:t>
            </w:r>
            <w:r w:rsidRPr="00DB5910">
              <w:rPr>
                <w:rFonts w:cs="David"/>
                <w:sz w:val="26"/>
                <w:szCs w:val="26"/>
                <w:rtl/>
              </w:rPr>
              <w:t>–</w:t>
            </w:r>
            <w:r w:rsidRPr="00DB5910">
              <w:rPr>
                <w:rFonts w:cs="David" w:hint="cs"/>
                <w:sz w:val="26"/>
                <w:szCs w:val="26"/>
                <w:rtl/>
              </w:rPr>
              <w:t xml:space="preserve"> האם קיימת מדיניות בנושא ? אם 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7614F71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קובץ מצורף</w:t>
            </w:r>
          </w:p>
        </w:tc>
      </w:tr>
      <w:tr w:rsidR="00C9328F" w:rsidRPr="00DB5910" w14:paraId="48B454FF" w14:textId="77777777" w:rsidTr="00E619CE">
        <w:trPr>
          <w:gridAfter w:val="1"/>
          <w:wAfter w:w="9" w:type="dxa"/>
        </w:trPr>
        <w:tc>
          <w:tcPr>
            <w:tcW w:w="1383" w:type="dxa"/>
          </w:tcPr>
          <w:p w14:paraId="01257FA5"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169E8DF3"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sz w:val="26"/>
                <w:szCs w:val="26"/>
                <w:rtl/>
              </w:rPr>
              <w:t>בא</w:t>
            </w:r>
            <w:r w:rsidRPr="00DB5910">
              <w:rPr>
                <w:rFonts w:cs="David" w:hint="cs"/>
                <w:sz w:val="26"/>
                <w:szCs w:val="26"/>
                <w:rtl/>
              </w:rPr>
              <w:t>י</w:t>
            </w:r>
            <w:r w:rsidRPr="00DB5910">
              <w:rPr>
                <w:rFonts w:cs="David"/>
                <w:sz w:val="26"/>
                <w:szCs w:val="26"/>
                <w:rtl/>
              </w:rPr>
              <w:t>לו סוגי מקורות מים (מותפלים, ממוחזרים...) נעשה שימוש</w:t>
            </w:r>
            <w:r w:rsidRPr="00DB5910">
              <w:rPr>
                <w:rFonts w:cs="David" w:hint="cs"/>
                <w:sz w:val="26"/>
                <w:szCs w:val="26"/>
                <w:rtl/>
              </w:rPr>
              <w:t xml:space="preserve"> בפעילות הארגון?</w:t>
            </w:r>
          </w:p>
        </w:tc>
        <w:tc>
          <w:tcPr>
            <w:tcW w:w="2845" w:type="dxa"/>
          </w:tcPr>
          <w:p w14:paraId="5BB84ECF"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5C5B48A3" w14:textId="77777777" w:rsidTr="00E619CE">
        <w:trPr>
          <w:gridAfter w:val="1"/>
          <w:wAfter w:w="9" w:type="dxa"/>
        </w:trPr>
        <w:tc>
          <w:tcPr>
            <w:tcW w:w="1383" w:type="dxa"/>
          </w:tcPr>
          <w:p w14:paraId="492D8B1C"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33E8E28"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כיצד המים מטופלים בסיום השימוש </w:t>
            </w:r>
            <w:r w:rsidRPr="00DB5910">
              <w:rPr>
                <w:rFonts w:cs="David"/>
                <w:sz w:val="26"/>
                <w:szCs w:val="26"/>
                <w:rtl/>
              </w:rPr>
              <w:t>–</w:t>
            </w:r>
            <w:r w:rsidRPr="00DB5910">
              <w:rPr>
                <w:rFonts w:cs="David" w:hint="cs"/>
                <w:sz w:val="26"/>
                <w:szCs w:val="26"/>
                <w:rtl/>
              </w:rPr>
              <w:t xml:space="preserve">האם השפכים מועברים לביוב מוסדר? לא </w:t>
            </w:r>
            <w:r w:rsidRPr="00DB5910">
              <w:rPr>
                <w:rFonts w:cs="David"/>
                <w:sz w:val="26"/>
                <w:szCs w:val="26"/>
                <w:rtl/>
              </w:rPr>
              <w:t>–</w:t>
            </w:r>
            <w:r w:rsidRPr="00DB5910">
              <w:rPr>
                <w:rFonts w:cs="David" w:hint="cs"/>
                <w:sz w:val="26"/>
                <w:szCs w:val="26"/>
                <w:rtl/>
              </w:rPr>
              <w:t xml:space="preserve"> לאן כן מועברים? </w:t>
            </w:r>
            <w:r>
              <w:rPr>
                <w:rFonts w:cs="David" w:hint="cs"/>
                <w:sz w:val="26"/>
                <w:szCs w:val="26"/>
                <w:rtl/>
              </w:rPr>
              <w:t>נא</w:t>
            </w:r>
            <w:r w:rsidRPr="00DB5910">
              <w:rPr>
                <w:rFonts w:cs="David" w:hint="cs"/>
                <w:sz w:val="26"/>
                <w:szCs w:val="26"/>
                <w:rtl/>
              </w:rPr>
              <w:t xml:space="preserve"> פרטו</w:t>
            </w:r>
          </w:p>
        </w:tc>
        <w:tc>
          <w:tcPr>
            <w:tcW w:w="2845" w:type="dxa"/>
          </w:tcPr>
          <w:p w14:paraId="41E07E5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209556A6" w14:textId="77777777" w:rsidTr="00E619CE">
        <w:tc>
          <w:tcPr>
            <w:tcW w:w="10049" w:type="dxa"/>
            <w:gridSpan w:val="4"/>
          </w:tcPr>
          <w:p w14:paraId="34FE732D"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מגוון ביולוגי</w:t>
            </w:r>
          </w:p>
        </w:tc>
      </w:tr>
      <w:tr w:rsidR="00C9328F" w:rsidRPr="00DB5910" w14:paraId="5DF36CD1" w14:textId="77777777" w:rsidTr="00E619CE">
        <w:trPr>
          <w:gridAfter w:val="1"/>
          <w:wAfter w:w="9" w:type="dxa"/>
        </w:trPr>
        <w:tc>
          <w:tcPr>
            <w:tcW w:w="1383" w:type="dxa"/>
          </w:tcPr>
          <w:p w14:paraId="1C29D4DB"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BD7920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לארגון השפעה על נושא המגוון הביולוגי ?</w:t>
            </w:r>
          </w:p>
        </w:tc>
        <w:tc>
          <w:tcPr>
            <w:tcW w:w="2845" w:type="dxa"/>
          </w:tcPr>
          <w:p w14:paraId="6809E06C"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029DCCAA" w14:textId="77777777" w:rsidTr="00E619CE">
        <w:trPr>
          <w:gridAfter w:val="1"/>
          <w:wAfter w:w="9" w:type="dxa"/>
        </w:trPr>
        <w:tc>
          <w:tcPr>
            <w:tcW w:w="1383" w:type="dxa"/>
          </w:tcPr>
          <w:p w14:paraId="5EA2891B"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1C72C254" w14:textId="77777777" w:rsidR="00C9328F" w:rsidRPr="00DB5910" w:rsidRDefault="00C9328F" w:rsidP="00E619CE">
            <w:pPr>
              <w:widowControl/>
              <w:spacing w:before="0" w:line="240" w:lineRule="auto"/>
              <w:ind w:firstLine="0"/>
              <w:jc w:val="left"/>
              <w:textAlignment w:val="auto"/>
              <w:rPr>
                <w:rFonts w:cs="David"/>
                <w:sz w:val="26"/>
                <w:szCs w:val="26"/>
                <w:rtl/>
              </w:rPr>
            </w:pPr>
            <w:r>
              <w:rPr>
                <w:rFonts w:cs="David" w:hint="cs"/>
                <w:sz w:val="26"/>
                <w:szCs w:val="26"/>
                <w:rtl/>
              </w:rPr>
              <w:t>נא</w:t>
            </w:r>
            <w:r w:rsidRPr="00DB5910">
              <w:rPr>
                <w:rFonts w:cs="David" w:hint="cs"/>
                <w:sz w:val="26"/>
                <w:szCs w:val="26"/>
                <w:rtl/>
              </w:rPr>
              <w:t xml:space="preserve"> הסבירו תשובתכם ואם כן </w:t>
            </w:r>
            <w:r w:rsidRPr="00DB5910">
              <w:rPr>
                <w:rFonts w:cs="David"/>
                <w:sz w:val="26"/>
                <w:szCs w:val="26"/>
                <w:rtl/>
              </w:rPr>
              <w:t>–</w:t>
            </w:r>
            <w:r w:rsidRPr="00DB5910">
              <w:rPr>
                <w:rFonts w:cs="David" w:hint="cs"/>
                <w:sz w:val="26"/>
                <w:szCs w:val="26"/>
                <w:rtl/>
              </w:rPr>
              <w:t xml:space="preserve"> האם קיימת מדיניות בנושא ? אם 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7995CB1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קובץ מצורף</w:t>
            </w:r>
          </w:p>
        </w:tc>
      </w:tr>
      <w:tr w:rsidR="00C9328F" w:rsidRPr="00DB5910" w14:paraId="62E722B2" w14:textId="77777777" w:rsidTr="00E619CE">
        <w:tc>
          <w:tcPr>
            <w:tcW w:w="10049" w:type="dxa"/>
            <w:gridSpan w:val="4"/>
          </w:tcPr>
          <w:p w14:paraId="7AC140FD"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 xml:space="preserve">חומרי גלם, פסולת, אריזות ושימוש בחומרים ברי </w:t>
            </w:r>
            <w:proofErr w:type="spellStart"/>
            <w:r w:rsidRPr="00DB5910">
              <w:rPr>
                <w:rFonts w:cs="David" w:hint="cs"/>
                <w:b/>
                <w:bCs/>
                <w:sz w:val="26"/>
                <w:szCs w:val="26"/>
                <w:rtl/>
              </w:rPr>
              <w:t>מיחזור</w:t>
            </w:r>
            <w:proofErr w:type="spellEnd"/>
            <w:r w:rsidRPr="00DB5910">
              <w:rPr>
                <w:rFonts w:cs="David" w:hint="cs"/>
                <w:b/>
                <w:bCs/>
                <w:sz w:val="26"/>
                <w:szCs w:val="26"/>
                <w:rtl/>
              </w:rPr>
              <w:t xml:space="preserve"> וממוחזרים</w:t>
            </w:r>
          </w:p>
        </w:tc>
      </w:tr>
      <w:tr w:rsidR="00C9328F" w:rsidRPr="00DB5910" w14:paraId="52BC904C" w14:textId="77777777" w:rsidTr="00E619CE">
        <w:trPr>
          <w:gridAfter w:val="1"/>
          <w:wAfter w:w="9" w:type="dxa"/>
        </w:trPr>
        <w:tc>
          <w:tcPr>
            <w:tcW w:w="1383" w:type="dxa"/>
          </w:tcPr>
          <w:p w14:paraId="582AF016"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2496BA4"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האם נעשים מאמצים לעבור לשימוש בחומרים ברי </w:t>
            </w:r>
            <w:proofErr w:type="spellStart"/>
            <w:r w:rsidRPr="00DB5910">
              <w:rPr>
                <w:rFonts w:cs="David" w:hint="cs"/>
                <w:sz w:val="26"/>
                <w:szCs w:val="26"/>
                <w:rtl/>
              </w:rPr>
              <w:t>מיחזור</w:t>
            </w:r>
            <w:proofErr w:type="spellEnd"/>
            <w:r w:rsidRPr="00DB5910">
              <w:rPr>
                <w:rFonts w:cs="David" w:hint="cs"/>
                <w:sz w:val="26"/>
                <w:szCs w:val="26"/>
                <w:rtl/>
              </w:rPr>
              <w:t xml:space="preserve"> וממוחזרים?</w:t>
            </w:r>
          </w:p>
        </w:tc>
        <w:tc>
          <w:tcPr>
            <w:tcW w:w="2845" w:type="dxa"/>
          </w:tcPr>
          <w:p w14:paraId="55B3186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2B7D153F" w14:textId="77777777" w:rsidTr="00E619CE">
        <w:trPr>
          <w:gridAfter w:val="1"/>
          <w:wAfter w:w="9" w:type="dxa"/>
        </w:trPr>
        <w:tc>
          <w:tcPr>
            <w:tcW w:w="1383" w:type="dxa"/>
          </w:tcPr>
          <w:p w14:paraId="26F892C5"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29235D4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ופרטו ואם קיימת מדיניות בנושא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4CBDE16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קובץ מצורף</w:t>
            </w:r>
          </w:p>
        </w:tc>
      </w:tr>
      <w:tr w:rsidR="00C9328F" w:rsidRPr="00DB5910" w14:paraId="35D61A40" w14:textId="77777777" w:rsidTr="00E619CE">
        <w:trPr>
          <w:gridAfter w:val="1"/>
          <w:wAfter w:w="9" w:type="dxa"/>
        </w:trPr>
        <w:tc>
          <w:tcPr>
            <w:tcW w:w="1383" w:type="dxa"/>
          </w:tcPr>
          <w:p w14:paraId="78A4C9C8"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4DDEAD3"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w:t>
            </w:r>
          </w:p>
        </w:tc>
        <w:tc>
          <w:tcPr>
            <w:tcW w:w="2845" w:type="dxa"/>
          </w:tcPr>
          <w:p w14:paraId="30869385" w14:textId="77777777" w:rsidR="00C9328F" w:rsidRPr="00DB5910" w:rsidRDefault="00C9328F" w:rsidP="00E619CE">
            <w:pPr>
              <w:widowControl/>
              <w:spacing w:before="0" w:line="240" w:lineRule="auto"/>
              <w:ind w:firstLine="0"/>
              <w:jc w:val="left"/>
              <w:textAlignment w:val="auto"/>
              <w:rPr>
                <w:rFonts w:cs="David"/>
                <w:sz w:val="26"/>
                <w:szCs w:val="26"/>
                <w:rtl/>
              </w:rPr>
            </w:pPr>
          </w:p>
        </w:tc>
      </w:tr>
      <w:tr w:rsidR="00C9328F" w:rsidRPr="00DB5910" w14:paraId="40E4EE25" w14:textId="77777777" w:rsidTr="00E619CE">
        <w:trPr>
          <w:gridAfter w:val="1"/>
          <w:wAfter w:w="9" w:type="dxa"/>
        </w:trPr>
        <w:tc>
          <w:tcPr>
            <w:tcW w:w="1383" w:type="dxa"/>
          </w:tcPr>
          <w:p w14:paraId="71B9E748"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3EAB3C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מהו אחוז השימוש בחומר גלם ממקור ממוחזר מתוך סך תשומות הארגון?</w:t>
            </w:r>
          </w:p>
        </w:tc>
        <w:tc>
          <w:tcPr>
            <w:tcW w:w="2845" w:type="dxa"/>
          </w:tcPr>
          <w:p w14:paraId="5DFFFEF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מספר באחוזים</w:t>
            </w:r>
          </w:p>
        </w:tc>
      </w:tr>
      <w:tr w:rsidR="00C9328F" w:rsidRPr="00DB5910" w14:paraId="5208C2E0" w14:textId="77777777" w:rsidTr="00E619CE">
        <w:trPr>
          <w:gridAfter w:val="1"/>
          <w:wAfter w:w="9" w:type="dxa"/>
        </w:trPr>
        <w:tc>
          <w:tcPr>
            <w:tcW w:w="1383" w:type="dxa"/>
          </w:tcPr>
          <w:p w14:paraId="2990E5EC"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36D15877"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מהי מדיניות הטיפול בסוגי הפסולת השונים המיוצאים ממתקני הארגון? </w:t>
            </w:r>
            <w:r>
              <w:rPr>
                <w:rFonts w:cs="David" w:hint="cs"/>
                <w:sz w:val="26"/>
                <w:szCs w:val="26"/>
                <w:rtl/>
              </w:rPr>
              <w:t>נא</w:t>
            </w:r>
            <w:r w:rsidRPr="00DB5910">
              <w:rPr>
                <w:rFonts w:cs="David" w:hint="cs"/>
                <w:sz w:val="26"/>
                <w:szCs w:val="26"/>
                <w:rtl/>
              </w:rPr>
              <w:t xml:space="preserve"> פרטו וצרפו את מסמך המדיניות</w:t>
            </w:r>
          </w:p>
        </w:tc>
        <w:tc>
          <w:tcPr>
            <w:tcW w:w="2845" w:type="dxa"/>
          </w:tcPr>
          <w:p w14:paraId="183B9CE2"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קובץ מצורף</w:t>
            </w:r>
          </w:p>
          <w:p w14:paraId="41FE40CD" w14:textId="77777777" w:rsidR="00C9328F" w:rsidRPr="00DB5910" w:rsidRDefault="00C9328F" w:rsidP="00E619CE">
            <w:pPr>
              <w:widowControl/>
              <w:spacing w:before="0" w:line="240" w:lineRule="auto"/>
              <w:ind w:firstLine="0"/>
              <w:jc w:val="left"/>
              <w:textAlignment w:val="auto"/>
              <w:rPr>
                <w:rFonts w:cs="David"/>
                <w:sz w:val="26"/>
                <w:szCs w:val="26"/>
                <w:rtl/>
              </w:rPr>
            </w:pPr>
          </w:p>
        </w:tc>
      </w:tr>
      <w:tr w:rsidR="00C9328F" w:rsidRPr="00DB5910" w14:paraId="42B8E426" w14:textId="77777777" w:rsidTr="00E619CE">
        <w:trPr>
          <w:gridAfter w:val="1"/>
          <w:wAfter w:w="9" w:type="dxa"/>
        </w:trPr>
        <w:tc>
          <w:tcPr>
            <w:tcW w:w="1383" w:type="dxa"/>
          </w:tcPr>
          <w:p w14:paraId="3528F360"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F0D883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בפעילות הארגון מעורבים חומרים רעילים ומסוכנים?</w:t>
            </w:r>
          </w:p>
        </w:tc>
        <w:tc>
          <w:tcPr>
            <w:tcW w:w="2845" w:type="dxa"/>
          </w:tcPr>
          <w:p w14:paraId="452F4D6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375B4D1F" w14:textId="77777777" w:rsidTr="00E619CE">
        <w:trPr>
          <w:gridAfter w:val="1"/>
          <w:wAfter w:w="9" w:type="dxa"/>
        </w:trPr>
        <w:tc>
          <w:tcPr>
            <w:tcW w:w="1383" w:type="dxa"/>
          </w:tcPr>
          <w:p w14:paraId="4A155215"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2EFAC60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מהי מדיניות הטיפול בחומרים אלו? </w:t>
            </w:r>
            <w:r>
              <w:rPr>
                <w:rFonts w:cs="David" w:hint="cs"/>
                <w:sz w:val="26"/>
                <w:szCs w:val="26"/>
                <w:rtl/>
              </w:rPr>
              <w:t>נא</w:t>
            </w:r>
            <w:r w:rsidRPr="00DB5910">
              <w:rPr>
                <w:rFonts w:cs="David" w:hint="cs"/>
                <w:sz w:val="26"/>
                <w:szCs w:val="26"/>
                <w:rtl/>
              </w:rPr>
              <w:t xml:space="preserve"> פרטו וצרפו מסמך מדיניות זה</w:t>
            </w:r>
          </w:p>
        </w:tc>
        <w:tc>
          <w:tcPr>
            <w:tcW w:w="2845" w:type="dxa"/>
          </w:tcPr>
          <w:p w14:paraId="658B983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קובץ מצורף</w:t>
            </w:r>
          </w:p>
        </w:tc>
      </w:tr>
      <w:tr w:rsidR="00C9328F" w:rsidRPr="00DB5910" w14:paraId="339FADDC" w14:textId="77777777" w:rsidTr="00E619CE">
        <w:trPr>
          <w:gridAfter w:val="1"/>
          <w:wAfter w:w="9" w:type="dxa"/>
        </w:trPr>
        <w:tc>
          <w:tcPr>
            <w:tcW w:w="1383" w:type="dxa"/>
          </w:tcPr>
          <w:p w14:paraId="44AA819E"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5C3B5EB1"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נעשים מאמצים להקטין ולהפחית אריזות?</w:t>
            </w:r>
          </w:p>
        </w:tc>
        <w:tc>
          <w:tcPr>
            <w:tcW w:w="2845" w:type="dxa"/>
          </w:tcPr>
          <w:p w14:paraId="6CAC936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0E0F26FB" w14:textId="77777777" w:rsidTr="00E619CE">
        <w:trPr>
          <w:gridAfter w:val="1"/>
          <w:wAfter w:w="9" w:type="dxa"/>
        </w:trPr>
        <w:tc>
          <w:tcPr>
            <w:tcW w:w="1383" w:type="dxa"/>
          </w:tcPr>
          <w:p w14:paraId="0FDDA9DD"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45CA4E10"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ופרטו ואם קיימת מדיניות בנושא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7D21A04A"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 + קובץ מצורף</w:t>
            </w:r>
          </w:p>
        </w:tc>
      </w:tr>
      <w:tr w:rsidR="00C9328F" w:rsidRPr="00DB5910" w14:paraId="269B0111" w14:textId="77777777" w:rsidTr="00E619CE">
        <w:trPr>
          <w:gridAfter w:val="1"/>
          <w:wAfter w:w="9" w:type="dxa"/>
        </w:trPr>
        <w:tc>
          <w:tcPr>
            <w:tcW w:w="1383" w:type="dxa"/>
          </w:tcPr>
          <w:p w14:paraId="76571477"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5B91CA9"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w:t>
            </w:r>
          </w:p>
        </w:tc>
        <w:tc>
          <w:tcPr>
            <w:tcW w:w="2845" w:type="dxa"/>
          </w:tcPr>
          <w:p w14:paraId="298D2396" w14:textId="77777777" w:rsidR="00C9328F" w:rsidRPr="00DB5910" w:rsidRDefault="00C9328F" w:rsidP="00E619CE">
            <w:pPr>
              <w:widowControl/>
              <w:spacing w:before="0" w:line="240" w:lineRule="auto"/>
              <w:ind w:firstLine="0"/>
              <w:jc w:val="left"/>
              <w:textAlignment w:val="auto"/>
              <w:rPr>
                <w:rFonts w:cs="David"/>
                <w:sz w:val="26"/>
                <w:szCs w:val="26"/>
                <w:rtl/>
              </w:rPr>
            </w:pPr>
          </w:p>
        </w:tc>
      </w:tr>
      <w:tr w:rsidR="00C9328F" w:rsidRPr="00DB5910" w14:paraId="36AA8898" w14:textId="77777777" w:rsidTr="00E619CE">
        <w:tc>
          <w:tcPr>
            <w:tcW w:w="10049" w:type="dxa"/>
            <w:gridSpan w:val="4"/>
          </w:tcPr>
          <w:p w14:paraId="2384BF45" w14:textId="77777777" w:rsidR="00C9328F" w:rsidRPr="00DB5910" w:rsidRDefault="00C9328F" w:rsidP="00E619CE">
            <w:pPr>
              <w:widowControl/>
              <w:spacing w:before="0" w:line="240" w:lineRule="auto"/>
              <w:ind w:firstLine="0"/>
              <w:jc w:val="left"/>
              <w:textAlignment w:val="auto"/>
              <w:rPr>
                <w:rFonts w:cs="David"/>
                <w:b/>
                <w:bCs/>
                <w:sz w:val="26"/>
                <w:szCs w:val="26"/>
                <w:rtl/>
              </w:rPr>
            </w:pPr>
            <w:r w:rsidRPr="00DB5910">
              <w:rPr>
                <w:rFonts w:cs="David" w:hint="cs"/>
                <w:b/>
                <w:bCs/>
                <w:sz w:val="26"/>
                <w:szCs w:val="26"/>
                <w:rtl/>
              </w:rPr>
              <w:t>יחס לבעלי חיים</w:t>
            </w:r>
          </w:p>
        </w:tc>
      </w:tr>
      <w:tr w:rsidR="00C9328F" w:rsidRPr="00DB5910" w14:paraId="2B3A5E63" w14:textId="77777777" w:rsidTr="00E619CE">
        <w:trPr>
          <w:gridAfter w:val="1"/>
          <w:wAfter w:w="9" w:type="dxa"/>
        </w:trPr>
        <w:tc>
          <w:tcPr>
            <w:tcW w:w="1383" w:type="dxa"/>
          </w:tcPr>
          <w:p w14:paraId="4746F07B"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784808B"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לחברה מדיניות בנוגע ליחס לבעלי חיים?</w:t>
            </w:r>
          </w:p>
        </w:tc>
        <w:tc>
          <w:tcPr>
            <w:tcW w:w="2845" w:type="dxa"/>
          </w:tcPr>
          <w:p w14:paraId="0144108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0033EC04" w14:textId="77777777" w:rsidTr="00E619CE">
        <w:trPr>
          <w:gridAfter w:val="1"/>
          <w:wAfter w:w="9" w:type="dxa"/>
        </w:trPr>
        <w:tc>
          <w:tcPr>
            <w:tcW w:w="1383" w:type="dxa"/>
          </w:tcPr>
          <w:p w14:paraId="7943CBE9"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38F2AE15"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צרפו מסמך מדיניות זה</w:t>
            </w:r>
          </w:p>
        </w:tc>
        <w:tc>
          <w:tcPr>
            <w:tcW w:w="2845" w:type="dxa"/>
          </w:tcPr>
          <w:p w14:paraId="510D243C"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קובץ מצורף</w:t>
            </w:r>
          </w:p>
        </w:tc>
      </w:tr>
      <w:tr w:rsidR="00C9328F" w:rsidRPr="00DB5910" w14:paraId="5FB25FDC" w14:textId="77777777" w:rsidTr="00E619CE">
        <w:trPr>
          <w:gridAfter w:val="1"/>
          <w:wAfter w:w="9" w:type="dxa"/>
        </w:trPr>
        <w:tc>
          <w:tcPr>
            <w:tcW w:w="1383" w:type="dxa"/>
          </w:tcPr>
          <w:p w14:paraId="62F1FD3D"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88CF84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לא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מדוע אין בנמצא מסמך מדיניות שכזה</w:t>
            </w:r>
          </w:p>
        </w:tc>
        <w:tc>
          <w:tcPr>
            <w:tcW w:w="2845" w:type="dxa"/>
          </w:tcPr>
          <w:p w14:paraId="531ECD2F"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5352007B" w14:textId="77777777" w:rsidTr="00E619CE">
        <w:trPr>
          <w:gridAfter w:val="1"/>
          <w:wAfter w:w="9" w:type="dxa"/>
        </w:trPr>
        <w:tc>
          <w:tcPr>
            <w:tcW w:w="1383" w:type="dxa"/>
          </w:tcPr>
          <w:p w14:paraId="59146851"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7EF2CCC1"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החברה מבצעת ניסויים בבעלי חיים?</w:t>
            </w:r>
          </w:p>
        </w:tc>
        <w:tc>
          <w:tcPr>
            <w:tcW w:w="2845" w:type="dxa"/>
          </w:tcPr>
          <w:p w14:paraId="43A60671"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1F804A12" w14:textId="77777777" w:rsidTr="00E619CE">
        <w:trPr>
          <w:gridAfter w:val="1"/>
          <w:wAfter w:w="9" w:type="dxa"/>
        </w:trPr>
        <w:tc>
          <w:tcPr>
            <w:tcW w:w="1383" w:type="dxa"/>
          </w:tcPr>
          <w:p w14:paraId="0BE949F3"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FC6ABE6"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הסבירו עבור אילו צרכים מתבצעים הניסויים</w:t>
            </w:r>
          </w:p>
        </w:tc>
        <w:tc>
          <w:tcPr>
            <w:tcW w:w="2845" w:type="dxa"/>
          </w:tcPr>
          <w:p w14:paraId="53BD4802"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r w:rsidR="00C9328F" w:rsidRPr="00DB5910" w14:paraId="1C9E4FF1" w14:textId="77777777" w:rsidTr="00E619CE">
        <w:trPr>
          <w:gridAfter w:val="1"/>
          <w:wAfter w:w="9" w:type="dxa"/>
        </w:trPr>
        <w:tc>
          <w:tcPr>
            <w:tcW w:w="1383" w:type="dxa"/>
          </w:tcPr>
          <w:p w14:paraId="17A66A1C"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66417848"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האם בהתנהלותה השוטפת של החברה נכללת גם התנהלות עם בעלי חיים למיניהם? (הובלת בעלי חיים, שחיטה ועוד)</w:t>
            </w:r>
          </w:p>
        </w:tc>
        <w:tc>
          <w:tcPr>
            <w:tcW w:w="2845" w:type="dxa"/>
          </w:tcPr>
          <w:p w14:paraId="78B04043"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כן / לא</w:t>
            </w:r>
          </w:p>
        </w:tc>
      </w:tr>
      <w:tr w:rsidR="00C9328F" w:rsidRPr="00DB5910" w14:paraId="2CF60572" w14:textId="77777777" w:rsidTr="00E619CE">
        <w:trPr>
          <w:gridAfter w:val="1"/>
          <w:wAfter w:w="9" w:type="dxa"/>
        </w:trPr>
        <w:tc>
          <w:tcPr>
            <w:tcW w:w="1383" w:type="dxa"/>
          </w:tcPr>
          <w:p w14:paraId="006D7EF0" w14:textId="77777777" w:rsidR="00C9328F" w:rsidRPr="00DB5910" w:rsidRDefault="00C9328F" w:rsidP="00E619CE">
            <w:pPr>
              <w:widowControl/>
              <w:spacing w:before="0" w:line="240" w:lineRule="auto"/>
              <w:ind w:firstLine="0"/>
              <w:jc w:val="left"/>
              <w:textAlignment w:val="auto"/>
              <w:rPr>
                <w:rFonts w:cs="David"/>
                <w:sz w:val="26"/>
                <w:szCs w:val="26"/>
                <w:rtl/>
              </w:rPr>
            </w:pPr>
          </w:p>
        </w:tc>
        <w:tc>
          <w:tcPr>
            <w:tcW w:w="5812" w:type="dxa"/>
          </w:tcPr>
          <w:p w14:paraId="03AB5B03"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 xml:space="preserve">כן </w:t>
            </w:r>
            <w:r w:rsidRPr="00DB5910">
              <w:rPr>
                <w:rFonts w:cs="David"/>
                <w:sz w:val="26"/>
                <w:szCs w:val="26"/>
                <w:rtl/>
              </w:rPr>
              <w:t>–</w:t>
            </w:r>
            <w:r w:rsidRPr="00DB5910">
              <w:rPr>
                <w:rFonts w:cs="David" w:hint="cs"/>
                <w:sz w:val="26"/>
                <w:szCs w:val="26"/>
                <w:rtl/>
              </w:rPr>
              <w:t xml:space="preserve"> </w:t>
            </w:r>
            <w:r>
              <w:rPr>
                <w:rFonts w:cs="David" w:hint="cs"/>
                <w:sz w:val="26"/>
                <w:szCs w:val="26"/>
                <w:rtl/>
              </w:rPr>
              <w:t>נא</w:t>
            </w:r>
            <w:r w:rsidRPr="00DB5910">
              <w:rPr>
                <w:rFonts w:cs="David" w:hint="cs"/>
                <w:sz w:val="26"/>
                <w:szCs w:val="26"/>
                <w:rtl/>
              </w:rPr>
              <w:t xml:space="preserve"> פרטו מהו היחס לבעלי החיים במסגרת התנהלות זו</w:t>
            </w:r>
          </w:p>
        </w:tc>
        <w:tc>
          <w:tcPr>
            <w:tcW w:w="2845" w:type="dxa"/>
          </w:tcPr>
          <w:p w14:paraId="5FCF40CE" w14:textId="77777777" w:rsidR="00C9328F" w:rsidRPr="00DB5910" w:rsidRDefault="00C9328F" w:rsidP="00E619CE">
            <w:pPr>
              <w:widowControl/>
              <w:spacing w:before="0" w:line="240" w:lineRule="auto"/>
              <w:ind w:firstLine="0"/>
              <w:jc w:val="left"/>
              <w:textAlignment w:val="auto"/>
              <w:rPr>
                <w:rFonts w:cs="David"/>
                <w:sz w:val="26"/>
                <w:szCs w:val="26"/>
                <w:rtl/>
              </w:rPr>
            </w:pPr>
            <w:r w:rsidRPr="00DB5910">
              <w:rPr>
                <w:rFonts w:cs="David" w:hint="cs"/>
                <w:sz w:val="26"/>
                <w:szCs w:val="26"/>
                <w:rtl/>
              </w:rPr>
              <w:t>טקסט</w:t>
            </w:r>
          </w:p>
        </w:tc>
      </w:tr>
    </w:tbl>
    <w:p w14:paraId="753BC27F" w14:textId="77777777" w:rsidR="00C9328F" w:rsidRDefault="00C9328F" w:rsidP="00C9328F">
      <w:pPr>
        <w:ind w:firstLine="0"/>
        <w:rPr>
          <w:rtl/>
        </w:rPr>
      </w:pPr>
    </w:p>
    <w:p w14:paraId="10A18B69" w14:textId="77777777" w:rsidR="00C9328F" w:rsidRPr="00F74ED0" w:rsidRDefault="00C9328F" w:rsidP="00C9328F">
      <w:pPr>
        <w:pStyle w:val="HeadDivreiHesber"/>
        <w:rPr>
          <w:b w:val="0"/>
          <w:bCs/>
          <w:rtl/>
        </w:rPr>
      </w:pPr>
      <w:r w:rsidRPr="00F74ED0">
        <w:rPr>
          <w:rFonts w:hint="cs"/>
          <w:b w:val="0"/>
          <w:bCs/>
          <w:rtl/>
        </w:rPr>
        <w:t>דברי הסבר</w:t>
      </w:r>
    </w:p>
    <w:p w14:paraId="206DE5A2" w14:textId="77777777" w:rsidR="00C9328F" w:rsidRPr="00D23B84" w:rsidRDefault="00C9328F" w:rsidP="00C9328F">
      <w:pPr>
        <w:pStyle w:val="Hesber"/>
        <w:ind w:firstLine="0"/>
        <w:rPr>
          <w:rtl/>
        </w:rPr>
      </w:pPr>
      <w:r w:rsidRPr="00D23B84">
        <w:rPr>
          <w:rFonts w:hint="cs"/>
          <w:rtl/>
        </w:rPr>
        <w:t xml:space="preserve">מטרת החוק לקדם תרבות </w:t>
      </w:r>
      <w:r>
        <w:rPr>
          <w:rFonts w:hint="cs"/>
          <w:rtl/>
        </w:rPr>
        <w:t>סביבתית</w:t>
      </w:r>
      <w:r w:rsidRPr="00D23B84">
        <w:rPr>
          <w:rFonts w:hint="cs"/>
          <w:rtl/>
        </w:rPr>
        <w:t xml:space="preserve"> </w:t>
      </w:r>
      <w:r>
        <w:rPr>
          <w:rFonts w:hint="cs"/>
          <w:rtl/>
        </w:rPr>
        <w:t>ו</w:t>
      </w:r>
      <w:r w:rsidRPr="00D23B84">
        <w:rPr>
          <w:rFonts w:hint="cs"/>
          <w:rtl/>
        </w:rPr>
        <w:t>אחריות סביבתית, וזאת באמצעות חיוב החברות לדווח אודות פעילותן בתחומים אלה. כל זאת, בכדי לאפשר לציבור שיפוט טוב יותר של התאגידים באמצעות אמות מידה אלה. הצעת החוק מבקשת להתאים את החוק הישראלי לדירקטיב</w:t>
      </w:r>
      <w:r w:rsidRPr="00D23B84">
        <w:rPr>
          <w:rFonts w:hint="eastAsia"/>
          <w:rtl/>
        </w:rPr>
        <w:t>ה</w:t>
      </w:r>
      <w:r w:rsidRPr="00D23B84">
        <w:rPr>
          <w:rFonts w:hint="cs"/>
          <w:rtl/>
        </w:rPr>
        <w:t xml:space="preserve"> האירופית לדיווח לא פיננסי של תאגידים</w:t>
      </w:r>
      <w:r>
        <w:rPr>
          <w:rFonts w:hint="cs"/>
          <w:sz w:val="26"/>
          <w:rtl/>
        </w:rPr>
        <w:t xml:space="preserve"> כמו גם לעשרות יוזמות רגולטוריות דומות מכל רחבי העולם</w:t>
      </w:r>
      <w:r w:rsidRPr="00D23B84">
        <w:rPr>
          <w:rFonts w:hint="cs"/>
          <w:rtl/>
        </w:rPr>
        <w:t>.</w:t>
      </w:r>
    </w:p>
    <w:p w14:paraId="330F2AF4" w14:textId="77777777" w:rsidR="00C9328F" w:rsidRPr="00D23B84" w:rsidRDefault="00C9328F" w:rsidP="00C9328F">
      <w:pPr>
        <w:pStyle w:val="Hesber"/>
        <w:ind w:firstLine="0"/>
        <w:rPr>
          <w:rtl/>
        </w:rPr>
      </w:pPr>
      <w:r w:rsidRPr="00D23B84">
        <w:rPr>
          <w:rFonts w:hint="cs"/>
          <w:rtl/>
        </w:rPr>
        <w:t xml:space="preserve">תחום האחריות </w:t>
      </w:r>
      <w:r>
        <w:rPr>
          <w:rFonts w:hint="cs"/>
          <w:rtl/>
        </w:rPr>
        <w:t>התאגידית</w:t>
      </w:r>
      <w:r w:rsidRPr="00D23B84">
        <w:rPr>
          <w:rFonts w:hint="cs"/>
          <w:rtl/>
        </w:rPr>
        <w:t xml:space="preserve"> מתפתח מאד בעולם</w:t>
      </w:r>
      <w:r>
        <w:rPr>
          <w:rFonts w:hint="cs"/>
          <w:rtl/>
        </w:rPr>
        <w:t>.</w:t>
      </w:r>
      <w:r w:rsidRPr="00D23B84">
        <w:rPr>
          <w:rFonts w:hint="cs"/>
          <w:rtl/>
        </w:rPr>
        <w:t xml:space="preserve"> </w:t>
      </w:r>
      <w:r w:rsidRPr="00014BDD">
        <w:rPr>
          <w:rFonts w:hint="cs"/>
          <w:color w:val="auto"/>
          <w:rtl/>
        </w:rPr>
        <w:t xml:space="preserve">בישראל </w:t>
      </w:r>
      <w:r w:rsidRPr="00014BDD">
        <w:rPr>
          <w:rFonts w:hint="cs"/>
          <w:color w:val="auto"/>
          <w:sz w:val="26"/>
          <w:rtl/>
        </w:rPr>
        <w:t xml:space="preserve">מספר לא גדול של </w:t>
      </w:r>
      <w:r w:rsidRPr="00014BDD">
        <w:rPr>
          <w:rFonts w:hint="cs"/>
          <w:color w:val="auto"/>
          <w:rtl/>
        </w:rPr>
        <w:t xml:space="preserve">חברות </w:t>
      </w:r>
      <w:r w:rsidRPr="00D23B84">
        <w:rPr>
          <w:rFonts w:hint="cs"/>
          <w:rtl/>
        </w:rPr>
        <w:t>החלו לדווח באופן וולונטר</w:t>
      </w:r>
      <w:r w:rsidRPr="00D23B84">
        <w:rPr>
          <w:rFonts w:hint="eastAsia"/>
          <w:rtl/>
        </w:rPr>
        <w:t>י</w:t>
      </w:r>
      <w:r w:rsidRPr="00D23B84">
        <w:rPr>
          <w:rFonts w:hint="cs"/>
          <w:rtl/>
        </w:rPr>
        <w:t xml:space="preserve"> על היבטים שונים הקשורים בפעילותן מנקודת מבט של אחריות חברתית-סביבתית של התאגיד או על פעולות נוספות שהתאגיד עושה בתחו</w:t>
      </w:r>
      <w:r>
        <w:rPr>
          <w:rFonts w:hint="cs"/>
          <w:rtl/>
        </w:rPr>
        <w:t>מי</w:t>
      </w:r>
      <w:r w:rsidRPr="00D23B84">
        <w:rPr>
          <w:rFonts w:hint="cs"/>
          <w:rtl/>
        </w:rPr>
        <w:t xml:space="preserve">ם </w:t>
      </w:r>
      <w:r>
        <w:rPr>
          <w:rFonts w:hint="cs"/>
          <w:rtl/>
        </w:rPr>
        <w:t>אלו</w:t>
      </w:r>
      <w:r w:rsidRPr="00D23B84">
        <w:rPr>
          <w:rFonts w:hint="cs"/>
          <w:rtl/>
        </w:rPr>
        <w:t xml:space="preserve"> לצד הדיווחים הופיעו גם ארגונים העוסקים בדירוג חברות על פי דיווחים אלה (כמו למשל דירוג "מעלה"). </w:t>
      </w:r>
      <w:r>
        <w:rPr>
          <w:rFonts w:hint="cs"/>
          <w:rtl/>
        </w:rPr>
        <w:t xml:space="preserve">בהצעת חוק זו אנו שימת הדגש הינה על הפן הסביבתי של האחריות התאגידית. </w:t>
      </w:r>
    </w:p>
    <w:p w14:paraId="67EFA7D5" w14:textId="77777777" w:rsidR="00C9328F" w:rsidRPr="00D23B84" w:rsidRDefault="00C9328F" w:rsidP="00C9328F">
      <w:pPr>
        <w:pStyle w:val="Hesber"/>
        <w:ind w:firstLine="0"/>
        <w:rPr>
          <w:rtl/>
        </w:rPr>
      </w:pPr>
      <w:r w:rsidRPr="00D23B84">
        <w:rPr>
          <w:rFonts w:hint="cs"/>
          <w:rtl/>
        </w:rPr>
        <w:t>ההשקפה</w:t>
      </w:r>
      <w:r>
        <w:rPr>
          <w:rFonts w:hint="cs"/>
          <w:rtl/>
        </w:rPr>
        <w:t>,</w:t>
      </w:r>
      <w:r w:rsidRPr="00D23B84">
        <w:rPr>
          <w:rFonts w:hint="cs"/>
          <w:rtl/>
        </w:rPr>
        <w:t xml:space="preserve"> העומדת בבסיס הדיווח ובבסיס הפעילויות וההשקעה שהתאגיד מבצע בתחומים אלה</w:t>
      </w:r>
      <w:r>
        <w:rPr>
          <w:rFonts w:hint="cs"/>
          <w:rtl/>
        </w:rPr>
        <w:t>,</w:t>
      </w:r>
      <w:r w:rsidRPr="00D23B84">
        <w:rPr>
          <w:rFonts w:hint="cs"/>
          <w:rtl/>
        </w:rPr>
        <w:t xml:space="preserve"> רואה </w:t>
      </w:r>
      <w:r>
        <w:rPr>
          <w:rFonts w:hint="cs"/>
          <w:rtl/>
        </w:rPr>
        <w:t>בו</w:t>
      </w:r>
      <w:r w:rsidRPr="00D23B84">
        <w:rPr>
          <w:rFonts w:hint="cs"/>
          <w:rtl/>
        </w:rPr>
        <w:t xml:space="preserve"> חלק מהמרקם האזרחי וככזה יש לו אחריות </w:t>
      </w:r>
      <w:r>
        <w:rPr>
          <w:rFonts w:hint="cs"/>
          <w:rtl/>
        </w:rPr>
        <w:t>חברתית</w:t>
      </w:r>
      <w:r w:rsidRPr="00D23B84">
        <w:rPr>
          <w:rFonts w:hint="cs"/>
          <w:rtl/>
        </w:rPr>
        <w:t xml:space="preserve">. יתרה מכך, אחריות זו מקבלת משנה תוקף על פי אותה תפישה, לאור העובדה כי פעמים רבות התאגיד משית על החברה והסביבה עלויות כחלק מפעילויות הליבה של עיסוקו, </w:t>
      </w:r>
      <w:r>
        <w:rPr>
          <w:rFonts w:hint="cs"/>
          <w:rtl/>
        </w:rPr>
        <w:t>ומרוויח</w:t>
      </w:r>
      <w:r w:rsidRPr="00D23B84">
        <w:rPr>
          <w:rFonts w:hint="cs"/>
          <w:rtl/>
        </w:rPr>
        <w:t xml:space="preserve"> על חשבונן</w:t>
      </w:r>
      <w:r>
        <w:rPr>
          <w:rFonts w:hint="cs"/>
          <w:rtl/>
        </w:rPr>
        <w:t xml:space="preserve"> (עלויות חיצוניות)</w:t>
      </w:r>
      <w:r w:rsidRPr="00D23B84">
        <w:rPr>
          <w:rFonts w:hint="cs"/>
          <w:rtl/>
        </w:rPr>
        <w:t xml:space="preserve">. עם זאת, לפי גישת האחריות התאגידית </w:t>
      </w:r>
      <w:r>
        <w:rPr>
          <w:rFonts w:hint="cs"/>
          <w:rtl/>
        </w:rPr>
        <w:t>(</w:t>
      </w:r>
      <w:r>
        <w:t>ESG</w:t>
      </w:r>
      <w:r>
        <w:rPr>
          <w:rFonts w:hint="cs"/>
          <w:rtl/>
        </w:rPr>
        <w:t xml:space="preserve">) </w:t>
      </w:r>
      <w:r w:rsidRPr="00D23B84">
        <w:rPr>
          <w:rFonts w:hint="cs"/>
          <w:rtl/>
        </w:rPr>
        <w:t xml:space="preserve">אין ניגוד הכרחי בין האחריות סביבתית של התאגיד לבין מטרתו העיקרית </w:t>
      </w:r>
      <w:r w:rsidRPr="00D23B84">
        <w:rPr>
          <w:rtl/>
        </w:rPr>
        <w:t>–</w:t>
      </w:r>
      <w:r w:rsidRPr="00D23B84">
        <w:rPr>
          <w:rFonts w:hint="cs"/>
          <w:rtl/>
        </w:rPr>
        <w:t xml:space="preserve"> להיות ארגון רווחי ותחרותי.</w:t>
      </w:r>
    </w:p>
    <w:p w14:paraId="7006845F" w14:textId="77777777" w:rsidR="00C9328F" w:rsidRPr="00D23B84" w:rsidRDefault="00C9328F" w:rsidP="00C9328F">
      <w:pPr>
        <w:pStyle w:val="Hesber"/>
        <w:ind w:firstLine="0"/>
        <w:rPr>
          <w:rtl/>
        </w:rPr>
      </w:pPr>
      <w:r w:rsidRPr="00D23B84">
        <w:rPr>
          <w:rFonts w:hint="cs"/>
          <w:rtl/>
        </w:rPr>
        <w:t>בישראל החקיקה מאפשרת לתאגיד להביא בחשבון גם שיקולים הקשורים בנושים, בעובדים ובציבור, כמו כן, היא מאפשרת לתאגיד לתרום כספים למטרה שאינה קשורה בשיקולים עסקיים, אך אינה קובעת  את היקף האחריות הציבורית</w:t>
      </w:r>
      <w:r>
        <w:rPr>
          <w:rFonts w:hint="cs"/>
          <w:rtl/>
        </w:rPr>
        <w:t xml:space="preserve"> בכלל והאחריות הסביבתית בפרט</w:t>
      </w:r>
      <w:r w:rsidRPr="00D23B84">
        <w:rPr>
          <w:rFonts w:hint="cs"/>
          <w:rtl/>
        </w:rPr>
        <w:t xml:space="preserve"> המוטלת על התאגיד ובוודאי שאינה מחייבת אותו באחריות שכזו. החוק המוצע גם </w:t>
      </w:r>
      <w:r>
        <w:rPr>
          <w:rFonts w:hint="cs"/>
          <w:rtl/>
        </w:rPr>
        <w:t xml:space="preserve">הוא </w:t>
      </w:r>
      <w:r w:rsidRPr="00D23B84">
        <w:rPr>
          <w:rFonts w:hint="cs"/>
          <w:rtl/>
        </w:rPr>
        <w:t>אינו מחייב את התאגיד לגלות אחריות ציבורית</w:t>
      </w:r>
      <w:r>
        <w:rPr>
          <w:rFonts w:hint="cs"/>
          <w:rtl/>
        </w:rPr>
        <w:t xml:space="preserve"> סביבתית</w:t>
      </w:r>
      <w:r w:rsidRPr="00D23B84">
        <w:rPr>
          <w:rFonts w:hint="cs"/>
          <w:rtl/>
        </w:rPr>
        <w:t xml:space="preserve">, אך </w:t>
      </w:r>
      <w:r>
        <w:rPr>
          <w:rFonts w:hint="cs"/>
          <w:rtl/>
        </w:rPr>
        <w:t>הפועל היוצא שהוא י</w:t>
      </w:r>
      <w:r w:rsidRPr="00D23B84">
        <w:rPr>
          <w:rFonts w:hint="cs"/>
          <w:rtl/>
        </w:rPr>
        <w:t>עודד את החברות לגלות אחריות</w:t>
      </w:r>
      <w:r>
        <w:rPr>
          <w:rFonts w:hint="cs"/>
          <w:rtl/>
        </w:rPr>
        <w:t xml:space="preserve"> ולהשתפר בביצועיהן</w:t>
      </w:r>
      <w:r w:rsidRPr="00D23B84">
        <w:rPr>
          <w:rFonts w:hint="cs"/>
          <w:rtl/>
        </w:rPr>
        <w:t>. החוק בא גם להסדיר בצורה אחידה וברת השוואה את האופן בו חברות מדווחות.</w:t>
      </w:r>
    </w:p>
    <w:p w14:paraId="4511233A" w14:textId="77777777" w:rsidR="00C9328F" w:rsidRPr="00D23B84" w:rsidRDefault="00C9328F" w:rsidP="00C9328F">
      <w:pPr>
        <w:pStyle w:val="Hesber"/>
        <w:ind w:firstLine="0"/>
        <w:rPr>
          <w:rtl/>
        </w:rPr>
      </w:pPr>
      <w:r w:rsidRPr="00D23B84">
        <w:rPr>
          <w:rFonts w:hint="cs"/>
          <w:rtl/>
        </w:rPr>
        <w:t>החוק מכיר בכך שסדרי הגודל השונים של התאגיד ונפח הפעילות השונה מייצרים גם מידת אחריות שונה ו</w:t>
      </w:r>
      <w:r>
        <w:rPr>
          <w:rFonts w:hint="cs"/>
          <w:rtl/>
        </w:rPr>
        <w:t>מכאן נובעת הדיפרנציאציה בחובת הדיווח שכן,</w:t>
      </w:r>
      <w:r w:rsidRPr="00D23B84">
        <w:rPr>
          <w:rFonts w:hint="cs"/>
          <w:rtl/>
        </w:rPr>
        <w:t xml:space="preserve"> הוא מטיל חובת דיווח שנתית על </w:t>
      </w:r>
      <w:r w:rsidRPr="00D23B84">
        <w:rPr>
          <w:rtl/>
        </w:rPr>
        <w:t>חבר</w:t>
      </w:r>
      <w:r w:rsidRPr="00D23B84">
        <w:rPr>
          <w:rFonts w:hint="cs"/>
          <w:rtl/>
        </w:rPr>
        <w:t>ות</w:t>
      </w:r>
      <w:r w:rsidRPr="00D23B84">
        <w:rPr>
          <w:rtl/>
        </w:rPr>
        <w:t xml:space="preserve"> ממשלתית, תאגיד</w:t>
      </w:r>
      <w:r w:rsidRPr="00D23B84">
        <w:rPr>
          <w:rFonts w:hint="cs"/>
          <w:rtl/>
        </w:rPr>
        <w:t>ים</w:t>
      </w:r>
      <w:r w:rsidRPr="00D23B84">
        <w:rPr>
          <w:rtl/>
        </w:rPr>
        <w:t xml:space="preserve"> עירוני</w:t>
      </w:r>
      <w:r w:rsidRPr="00D23B84">
        <w:rPr>
          <w:rFonts w:hint="cs"/>
          <w:rtl/>
        </w:rPr>
        <w:t>ים</w:t>
      </w:r>
      <w:r w:rsidRPr="00D23B84">
        <w:rPr>
          <w:rtl/>
        </w:rPr>
        <w:t xml:space="preserve"> וחבר</w:t>
      </w:r>
      <w:r w:rsidRPr="00D23B84">
        <w:rPr>
          <w:rFonts w:hint="cs"/>
          <w:rtl/>
        </w:rPr>
        <w:t>ות</w:t>
      </w:r>
      <w:r w:rsidRPr="00D23B84">
        <w:rPr>
          <w:rtl/>
        </w:rPr>
        <w:t xml:space="preserve"> גדול</w:t>
      </w:r>
      <w:r w:rsidRPr="00D23B84">
        <w:rPr>
          <w:rFonts w:hint="cs"/>
          <w:rtl/>
        </w:rPr>
        <w:t>ות, חובת דיווח אחת לשנתיים על</w:t>
      </w:r>
      <w:r w:rsidRPr="00D23B84">
        <w:rPr>
          <w:rtl/>
        </w:rPr>
        <w:t xml:space="preserve"> חבר</w:t>
      </w:r>
      <w:r w:rsidRPr="00D23B84">
        <w:rPr>
          <w:rFonts w:hint="cs"/>
          <w:rtl/>
        </w:rPr>
        <w:t>ות</w:t>
      </w:r>
      <w:r w:rsidRPr="00D23B84">
        <w:rPr>
          <w:rtl/>
        </w:rPr>
        <w:t xml:space="preserve"> ציבורי</w:t>
      </w:r>
      <w:r w:rsidRPr="00D23B84">
        <w:rPr>
          <w:rFonts w:hint="cs"/>
          <w:rtl/>
        </w:rPr>
        <w:t>ו</w:t>
      </w:r>
      <w:r w:rsidRPr="00D23B84">
        <w:rPr>
          <w:rtl/>
        </w:rPr>
        <w:t>ת שאינ</w:t>
      </w:r>
      <w:r w:rsidRPr="00D23B84">
        <w:rPr>
          <w:rFonts w:hint="cs"/>
          <w:rtl/>
        </w:rPr>
        <w:t>ן</w:t>
      </w:r>
      <w:r w:rsidRPr="00D23B84">
        <w:rPr>
          <w:rtl/>
        </w:rPr>
        <w:t xml:space="preserve"> חבר</w:t>
      </w:r>
      <w:r w:rsidRPr="00D23B84">
        <w:rPr>
          <w:rFonts w:hint="cs"/>
          <w:rtl/>
        </w:rPr>
        <w:t>ות</w:t>
      </w:r>
      <w:r w:rsidRPr="00D23B84">
        <w:rPr>
          <w:rtl/>
        </w:rPr>
        <w:t xml:space="preserve"> גדול</w:t>
      </w:r>
      <w:r w:rsidRPr="00D23B84">
        <w:rPr>
          <w:rFonts w:hint="cs"/>
          <w:rtl/>
        </w:rPr>
        <w:t>ות ואפשרות דיווח וולונטרית ל</w:t>
      </w:r>
      <w:r w:rsidRPr="00D23B84">
        <w:rPr>
          <w:rtl/>
        </w:rPr>
        <w:t>תאגיד</w:t>
      </w:r>
      <w:r w:rsidRPr="00D23B84">
        <w:rPr>
          <w:rFonts w:hint="cs"/>
          <w:rtl/>
        </w:rPr>
        <w:t>ים</w:t>
      </w:r>
      <w:r w:rsidRPr="00D23B84">
        <w:rPr>
          <w:rtl/>
        </w:rPr>
        <w:t xml:space="preserve"> שאינ</w:t>
      </w:r>
      <w:r w:rsidRPr="00D23B84">
        <w:rPr>
          <w:rFonts w:hint="cs"/>
          <w:rtl/>
        </w:rPr>
        <w:t>ם</w:t>
      </w:r>
      <w:r w:rsidRPr="00D23B84">
        <w:rPr>
          <w:rtl/>
        </w:rPr>
        <w:t xml:space="preserve"> חבר</w:t>
      </w:r>
      <w:r w:rsidRPr="00D23B84">
        <w:rPr>
          <w:rFonts w:hint="cs"/>
          <w:rtl/>
        </w:rPr>
        <w:t>ות</w:t>
      </w:r>
      <w:r w:rsidRPr="00D23B84">
        <w:rPr>
          <w:rtl/>
        </w:rPr>
        <w:t xml:space="preserve"> </w:t>
      </w:r>
      <w:r w:rsidRPr="00D23B84">
        <w:rPr>
          <w:rFonts w:hint="cs"/>
          <w:rtl/>
        </w:rPr>
        <w:t>החייבות ב</w:t>
      </w:r>
      <w:r w:rsidRPr="00D23B84">
        <w:rPr>
          <w:rtl/>
        </w:rPr>
        <w:t>ד</w:t>
      </w:r>
      <w:r w:rsidRPr="00D23B84">
        <w:rPr>
          <w:rFonts w:hint="cs"/>
          <w:rtl/>
        </w:rPr>
        <w:t>י</w:t>
      </w:r>
      <w:r w:rsidRPr="00D23B84">
        <w:rPr>
          <w:rtl/>
        </w:rPr>
        <w:t>ווח</w:t>
      </w:r>
      <w:r w:rsidRPr="00D23B84">
        <w:rPr>
          <w:rFonts w:hint="cs"/>
          <w:rtl/>
        </w:rPr>
        <w:t xml:space="preserve">. </w:t>
      </w:r>
    </w:p>
    <w:p w14:paraId="3D814582" w14:textId="77777777" w:rsidR="00C9328F" w:rsidRPr="00D23B84" w:rsidRDefault="00C9328F" w:rsidP="00C9328F">
      <w:pPr>
        <w:pStyle w:val="Hesber"/>
        <w:ind w:firstLine="0"/>
        <w:rPr>
          <w:rtl/>
        </w:rPr>
      </w:pPr>
      <w:r w:rsidRPr="00D23B84">
        <w:rPr>
          <w:rFonts w:hint="cs"/>
          <w:rtl/>
        </w:rPr>
        <w:t xml:space="preserve">כללי הדיווח כוללים התייחסות כללית וניהול סביבתי, התייחסות לתחבורה, אנרגיה, מים, מגוון ביולוגי, חומרי גלם, פסולת, אריזות, שימוש בחומרים ברי מחזור וממוחזרים, ולבסוף גם ליחס של התאגיד לבעלי חיים. </w:t>
      </w:r>
    </w:p>
    <w:p w14:paraId="2354531C" w14:textId="77777777" w:rsidR="00C9328F" w:rsidRPr="00D23B84" w:rsidRDefault="00C9328F" w:rsidP="00C9328F">
      <w:pPr>
        <w:pStyle w:val="Hesber"/>
        <w:ind w:firstLine="0"/>
        <w:rPr>
          <w:rtl/>
        </w:rPr>
      </w:pPr>
      <w:r>
        <w:rPr>
          <w:rFonts w:hint="cs"/>
          <w:rtl/>
        </w:rPr>
        <w:t>כדי</w:t>
      </w:r>
      <w:r w:rsidRPr="00D23B84">
        <w:rPr>
          <w:rFonts w:hint="cs"/>
          <w:rtl/>
        </w:rPr>
        <w:t xml:space="preserve"> להבטיח שה</w:t>
      </w:r>
      <w:r>
        <w:rPr>
          <w:rFonts w:hint="cs"/>
          <w:rtl/>
        </w:rPr>
        <w:t>דוח</w:t>
      </w:r>
      <w:r w:rsidRPr="00D23B84">
        <w:rPr>
          <w:rFonts w:hint="cs"/>
          <w:rtl/>
        </w:rPr>
        <w:t xml:space="preserve"> משיג את מטרות החוק יש לבחון את כללי הדיווח מיד לאחר שנת הדיווח הראשונה ולעדכנם לפי צורך, וכן לבחון את הצורך בעדכון אחת לשנתיים על מנת </w:t>
      </w:r>
      <w:r w:rsidRPr="00D23B84">
        <w:rPr>
          <w:rFonts w:hint="cs"/>
          <w:rtl/>
        </w:rPr>
        <w:lastRenderedPageBreak/>
        <w:t>להשאיר את ה</w:t>
      </w:r>
      <w:r>
        <w:rPr>
          <w:rFonts w:hint="cs"/>
          <w:rtl/>
        </w:rPr>
        <w:t>דוח</w:t>
      </w:r>
      <w:r w:rsidRPr="00D23B84">
        <w:rPr>
          <w:rFonts w:hint="cs"/>
          <w:rtl/>
        </w:rPr>
        <w:t xml:space="preserve"> רלוונטי ומקיף וככוח מניע לקידום האחריות </w:t>
      </w:r>
      <w:r>
        <w:rPr>
          <w:rFonts w:hint="cs"/>
          <w:rtl/>
        </w:rPr>
        <w:t>הסביבתית</w:t>
      </w:r>
      <w:r w:rsidRPr="00D23B84">
        <w:rPr>
          <w:rFonts w:hint="cs"/>
          <w:rtl/>
        </w:rPr>
        <w:t xml:space="preserve">. לשם כך החוק מסמיך וועדה מייעצת המורכבת מגורמי ממשל שונים מנציגי העובדים, התעשיינים ומומחים בתחום הדיווח על אחריות </w:t>
      </w:r>
      <w:r>
        <w:rPr>
          <w:rFonts w:hint="cs"/>
          <w:rtl/>
        </w:rPr>
        <w:t>סביבתית</w:t>
      </w:r>
      <w:r w:rsidRPr="00D23B84">
        <w:rPr>
          <w:rFonts w:hint="cs"/>
          <w:rtl/>
        </w:rPr>
        <w:t>.</w:t>
      </w:r>
    </w:p>
    <w:p w14:paraId="20283EA2" w14:textId="08DF6D23" w:rsidR="00C9328F" w:rsidRDefault="00C9328F" w:rsidP="00785953">
      <w:pPr>
        <w:pStyle w:val="Hesber"/>
        <w:ind w:firstLine="0"/>
        <w:rPr>
          <w:rtl/>
        </w:rPr>
      </w:pPr>
      <w:r w:rsidRPr="00D23B84">
        <w:rPr>
          <w:rFonts w:hint="cs"/>
          <w:rtl/>
        </w:rPr>
        <w:t>כיו</w:t>
      </w:r>
      <w:r>
        <w:rPr>
          <w:rFonts w:hint="cs"/>
          <w:rtl/>
        </w:rPr>
        <w:t>ו</w:t>
      </w:r>
      <w:r w:rsidRPr="00D23B84">
        <w:rPr>
          <w:rFonts w:hint="cs"/>
          <w:rtl/>
        </w:rPr>
        <w:t>ן שתכלית הדיווח היא לאפשר לציבור יכולת שיפוט טובה יותר על ביצועי החברות, ה</w:t>
      </w:r>
      <w:r>
        <w:rPr>
          <w:rFonts w:hint="cs"/>
          <w:rtl/>
        </w:rPr>
        <w:t>דוח</w:t>
      </w:r>
      <w:r w:rsidRPr="00D23B84">
        <w:rPr>
          <w:rFonts w:hint="cs"/>
          <w:rtl/>
        </w:rPr>
        <w:t xml:space="preserve">ות יעמדו לעיון הציבור באופן נגיש ומרוכז באתר אינטרנט של הממונה על אחריות </w:t>
      </w:r>
      <w:r>
        <w:rPr>
          <w:rFonts w:hint="cs"/>
          <w:rtl/>
        </w:rPr>
        <w:t>סביבתית</w:t>
      </w:r>
      <w:r w:rsidRPr="00D23B84">
        <w:rPr>
          <w:rFonts w:hint="cs"/>
          <w:rtl/>
        </w:rPr>
        <w:t xml:space="preserve">. חברה מדווחת שעומדת בהוראות החוק תוכל לסמן את מוצריה בסמליל. אין בסמליל משום הצהרה על איכות ביצועיה בתחום האחריות </w:t>
      </w:r>
      <w:r>
        <w:rPr>
          <w:rFonts w:hint="cs"/>
          <w:rtl/>
        </w:rPr>
        <w:t>הסביבתית</w:t>
      </w:r>
      <w:r w:rsidRPr="00D23B84">
        <w:rPr>
          <w:rFonts w:hint="cs"/>
          <w:rtl/>
        </w:rPr>
        <w:t xml:space="preserve">, רק עדות על כך שדווחה כנדרש והציבור יכול לבחון את ביצועיה. חברה שלא תדווח כדין תיקנס ותישלל ממנה הזכות להשתמש באותה שנת דיווח בסמליל. כיון שמושא הדיווח הוא פעילות התאגיד והשפעותיו בהקשרים סביבתיים, הכספים שיתקבלו מהקנס ייועדו לשימוש לאותן תכליות באמצעות קרן ייעודית. </w:t>
      </w:r>
    </w:p>
    <w:p w14:paraId="42F7A139" w14:textId="77777777" w:rsidR="00C9328F" w:rsidRPr="00D23B84" w:rsidRDefault="00C9328F" w:rsidP="00C9328F">
      <w:pPr>
        <w:pStyle w:val="Hesber"/>
        <w:ind w:firstLine="0"/>
        <w:rPr>
          <w:rtl/>
        </w:rPr>
      </w:pPr>
      <w:r>
        <w:rPr>
          <w:rFonts w:hint="cs"/>
          <w:rtl/>
        </w:rPr>
        <w:t xml:space="preserve">הצעת חוק זו הוכנה בצוות מנגנונים כלכליים של קליניקת הכנסת בפקולטה למשפטים של אוניברסיטת תל אביב ע״י אור ברק </w:t>
      </w:r>
      <w:proofErr w:type="spellStart"/>
      <w:r>
        <w:rPr>
          <w:rFonts w:hint="cs"/>
          <w:rtl/>
        </w:rPr>
        <w:t>ונאדין</w:t>
      </w:r>
      <w:proofErr w:type="spellEnd"/>
      <w:r>
        <w:rPr>
          <w:rFonts w:hint="cs"/>
          <w:rtl/>
        </w:rPr>
        <w:t xml:space="preserve"> </w:t>
      </w:r>
      <w:proofErr w:type="spellStart"/>
      <w:r>
        <w:rPr>
          <w:rFonts w:hint="cs"/>
          <w:rtl/>
        </w:rPr>
        <w:t>ותד</w:t>
      </w:r>
      <w:proofErr w:type="spellEnd"/>
      <w:r>
        <w:rPr>
          <w:rFonts w:hint="cs"/>
          <w:rtl/>
        </w:rPr>
        <w:t xml:space="preserve">.  </w:t>
      </w:r>
    </w:p>
    <w:p w14:paraId="30F0CF6A" w14:textId="77777777" w:rsidR="00C9328F" w:rsidRDefault="00C9328F" w:rsidP="00C9328F">
      <w:pPr>
        <w:rPr>
          <w:rtl/>
        </w:rPr>
      </w:pPr>
    </w:p>
    <w:p w14:paraId="5AC5A927" w14:textId="1A3CE0F5" w:rsidR="00C9328F" w:rsidRDefault="00C9328F" w:rsidP="000209DE">
      <w:pPr>
        <w:pStyle w:val="Hesber"/>
        <w:ind w:firstLine="0"/>
        <w:rPr>
          <w:rtl/>
        </w:rPr>
      </w:pPr>
    </w:p>
    <w:p w14:paraId="2C8ECF5A" w14:textId="7DB579F2" w:rsidR="000209DE" w:rsidRDefault="000209DE" w:rsidP="000209DE">
      <w:pPr>
        <w:pStyle w:val="Hesber"/>
        <w:ind w:firstLine="0"/>
        <w:rPr>
          <w:rtl/>
        </w:rPr>
      </w:pPr>
    </w:p>
    <w:p w14:paraId="36143958" w14:textId="40E8A555" w:rsidR="000209DE" w:rsidRDefault="000209DE" w:rsidP="000209DE">
      <w:pPr>
        <w:pStyle w:val="Hesber"/>
        <w:ind w:firstLine="0"/>
        <w:rPr>
          <w:rtl/>
        </w:rPr>
      </w:pPr>
    </w:p>
    <w:p w14:paraId="381B88D8" w14:textId="135D8D94" w:rsidR="000209DE" w:rsidRDefault="000209DE" w:rsidP="000209DE">
      <w:pPr>
        <w:pStyle w:val="Hesber"/>
        <w:ind w:firstLine="0"/>
        <w:rPr>
          <w:rtl/>
        </w:rPr>
      </w:pPr>
    </w:p>
    <w:p w14:paraId="070D28B5" w14:textId="1EDF553D" w:rsidR="000209DE" w:rsidRDefault="000209DE" w:rsidP="000209DE">
      <w:pPr>
        <w:pStyle w:val="Hesber"/>
        <w:ind w:firstLine="0"/>
        <w:rPr>
          <w:rtl/>
        </w:rPr>
      </w:pPr>
    </w:p>
    <w:p w14:paraId="78D5C273" w14:textId="3B91A5F2" w:rsidR="000209DE" w:rsidRDefault="000209DE" w:rsidP="000209DE">
      <w:pPr>
        <w:pStyle w:val="Hesber"/>
        <w:ind w:firstLine="0"/>
        <w:rPr>
          <w:rtl/>
        </w:rPr>
      </w:pPr>
    </w:p>
    <w:p w14:paraId="5D980B9B" w14:textId="2D021938" w:rsidR="000209DE" w:rsidRDefault="000209DE" w:rsidP="000209DE">
      <w:pPr>
        <w:pStyle w:val="Hesber"/>
        <w:ind w:firstLine="0"/>
        <w:rPr>
          <w:rtl/>
        </w:rPr>
      </w:pPr>
    </w:p>
    <w:p w14:paraId="448E4000" w14:textId="203A24DB" w:rsidR="000209DE" w:rsidRDefault="000209DE" w:rsidP="000209DE">
      <w:pPr>
        <w:pStyle w:val="Hesber"/>
        <w:ind w:firstLine="0"/>
        <w:rPr>
          <w:rtl/>
        </w:rPr>
      </w:pPr>
    </w:p>
    <w:p w14:paraId="71A4ABC4" w14:textId="555E5F9C" w:rsidR="000209DE" w:rsidRDefault="000209DE" w:rsidP="000209DE">
      <w:pPr>
        <w:pStyle w:val="Hesber"/>
        <w:ind w:firstLine="0"/>
        <w:rPr>
          <w:rtl/>
        </w:rPr>
      </w:pPr>
    </w:p>
    <w:p w14:paraId="2086C29C" w14:textId="6CE49377" w:rsidR="000209DE" w:rsidRDefault="000209DE" w:rsidP="000209DE">
      <w:pPr>
        <w:pStyle w:val="Hesber"/>
        <w:ind w:firstLine="0"/>
        <w:rPr>
          <w:rtl/>
        </w:rPr>
      </w:pPr>
    </w:p>
    <w:p w14:paraId="17FA304C" w14:textId="741B9505" w:rsidR="000209DE" w:rsidRDefault="000209DE" w:rsidP="000209DE">
      <w:pPr>
        <w:pStyle w:val="Hesber"/>
        <w:ind w:firstLine="0"/>
        <w:rPr>
          <w:rtl/>
        </w:rPr>
      </w:pPr>
    </w:p>
    <w:p w14:paraId="6130D09C" w14:textId="28BFCAD0" w:rsidR="000209DE" w:rsidRDefault="000209DE" w:rsidP="000209DE">
      <w:pPr>
        <w:pStyle w:val="Hesber"/>
        <w:ind w:firstLine="0"/>
        <w:rPr>
          <w:rtl/>
        </w:rPr>
      </w:pPr>
    </w:p>
    <w:p w14:paraId="60D454BE" w14:textId="4CC3EC4B" w:rsidR="000209DE" w:rsidRDefault="000209DE" w:rsidP="000209DE">
      <w:pPr>
        <w:pStyle w:val="Hesber"/>
        <w:ind w:firstLine="0"/>
        <w:rPr>
          <w:rtl/>
        </w:rPr>
      </w:pPr>
    </w:p>
    <w:p w14:paraId="134CC8F9" w14:textId="03C6B621" w:rsidR="000209DE" w:rsidRDefault="000209DE" w:rsidP="000209DE">
      <w:pPr>
        <w:pStyle w:val="Hesber"/>
        <w:ind w:firstLine="0"/>
        <w:rPr>
          <w:rtl/>
        </w:rPr>
      </w:pPr>
    </w:p>
    <w:p w14:paraId="7945AFE8" w14:textId="017A3FA9" w:rsidR="000209DE" w:rsidRDefault="000209DE" w:rsidP="000209DE">
      <w:pPr>
        <w:pStyle w:val="Hesber"/>
        <w:ind w:firstLine="0"/>
        <w:rPr>
          <w:rtl/>
        </w:rPr>
      </w:pPr>
    </w:p>
    <w:p w14:paraId="49E8EAEB" w14:textId="07891FE1" w:rsidR="000209DE" w:rsidRDefault="000209DE" w:rsidP="000209DE">
      <w:pPr>
        <w:pStyle w:val="Hesber"/>
        <w:ind w:firstLine="0"/>
        <w:rPr>
          <w:rtl/>
        </w:rPr>
      </w:pPr>
    </w:p>
    <w:p w14:paraId="3298A5E6" w14:textId="25213402" w:rsidR="000209DE" w:rsidRDefault="000209DE" w:rsidP="000209DE">
      <w:pPr>
        <w:pStyle w:val="Hesber"/>
        <w:ind w:firstLine="0"/>
        <w:rPr>
          <w:rtl/>
        </w:rPr>
      </w:pPr>
    </w:p>
    <w:p w14:paraId="05D50733" w14:textId="5881D42B" w:rsidR="000209DE" w:rsidRDefault="000209DE" w:rsidP="000209DE">
      <w:pPr>
        <w:pStyle w:val="Hesber"/>
        <w:ind w:firstLine="0"/>
        <w:rPr>
          <w:rtl/>
        </w:rPr>
      </w:pPr>
    </w:p>
    <w:p w14:paraId="07B548A5" w14:textId="50B09F4F" w:rsidR="000209DE" w:rsidRDefault="000209DE" w:rsidP="000209DE">
      <w:pPr>
        <w:pStyle w:val="Hesber"/>
        <w:ind w:firstLine="0"/>
        <w:rPr>
          <w:rtl/>
        </w:rPr>
      </w:pPr>
    </w:p>
    <w:p w14:paraId="393D40AE" w14:textId="7DE72089" w:rsidR="000209DE" w:rsidRDefault="000209DE" w:rsidP="000209DE">
      <w:pPr>
        <w:pStyle w:val="Hesber"/>
        <w:ind w:firstLine="0"/>
        <w:rPr>
          <w:rtl/>
        </w:rPr>
      </w:pPr>
    </w:p>
    <w:p w14:paraId="58454A27" w14:textId="77777777" w:rsidR="00785953" w:rsidRDefault="00785953" w:rsidP="000209DE">
      <w:pPr>
        <w:spacing w:line="360" w:lineRule="auto"/>
        <w:jc w:val="center"/>
        <w:rPr>
          <w:rFonts w:ascii="David" w:hAnsi="David" w:cs="David"/>
          <w:b/>
          <w:bCs/>
          <w:sz w:val="24"/>
          <w:szCs w:val="24"/>
          <w:u w:val="single"/>
          <w:rtl/>
        </w:rPr>
      </w:pPr>
    </w:p>
    <w:p w14:paraId="658608CA" w14:textId="77777777" w:rsidR="00785953" w:rsidRDefault="00785953" w:rsidP="000209DE">
      <w:pPr>
        <w:spacing w:line="360" w:lineRule="auto"/>
        <w:jc w:val="center"/>
        <w:rPr>
          <w:rFonts w:ascii="David" w:hAnsi="David" w:cs="David"/>
          <w:b/>
          <w:bCs/>
          <w:sz w:val="24"/>
          <w:szCs w:val="24"/>
          <w:u w:val="single"/>
          <w:rtl/>
        </w:rPr>
      </w:pPr>
    </w:p>
    <w:p w14:paraId="4A5D716A" w14:textId="753AA2D7" w:rsidR="000209DE" w:rsidRPr="00756183" w:rsidRDefault="000209DE" w:rsidP="000209DE">
      <w:pPr>
        <w:spacing w:line="360" w:lineRule="auto"/>
        <w:jc w:val="center"/>
        <w:rPr>
          <w:rFonts w:ascii="David" w:hAnsi="David" w:cs="David"/>
          <w:b/>
          <w:bCs/>
          <w:sz w:val="26"/>
          <w:szCs w:val="26"/>
          <w:rtl/>
        </w:rPr>
      </w:pPr>
      <w:r w:rsidRPr="00756183">
        <w:rPr>
          <w:rFonts w:ascii="David" w:hAnsi="David" w:cs="David" w:hint="cs"/>
          <w:b/>
          <w:bCs/>
          <w:sz w:val="26"/>
          <w:szCs w:val="26"/>
          <w:rtl/>
        </w:rPr>
        <w:lastRenderedPageBreak/>
        <w:t>הצעת חוק מס פחמן, התשפ״א-2021</w:t>
      </w:r>
    </w:p>
    <w:p w14:paraId="7DD4D2DC" w14:textId="77777777" w:rsidR="000209DE" w:rsidRPr="00756183" w:rsidRDefault="000209DE" w:rsidP="000209DE">
      <w:pPr>
        <w:spacing w:line="360" w:lineRule="auto"/>
        <w:jc w:val="center"/>
        <w:rPr>
          <w:rFonts w:ascii="David" w:hAnsi="David" w:cs="David"/>
          <w:b/>
          <w:bCs/>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5377"/>
      </w:tblGrid>
      <w:tr w:rsidR="000209DE" w:rsidRPr="00756183" w14:paraId="4BDC5BF6" w14:textId="77777777" w:rsidTr="00E619CE">
        <w:tc>
          <w:tcPr>
            <w:tcW w:w="2913" w:type="dxa"/>
            <w:shd w:val="clear" w:color="auto" w:fill="auto"/>
          </w:tcPr>
          <w:p w14:paraId="68AA3C94"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מטרות החוק</w:t>
            </w:r>
          </w:p>
        </w:tc>
        <w:tc>
          <w:tcPr>
            <w:tcW w:w="5377" w:type="dxa"/>
            <w:shd w:val="clear" w:color="auto" w:fill="auto"/>
          </w:tcPr>
          <w:p w14:paraId="65E2E0F1"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1. מטרתו של חוק זה לעודד מעבר לכלכלה דלת פחמן והפחתת פליטת פחמן בטווח הארוך ע״י יישום מנגנון של תמחור פחמן. </w:t>
            </w:r>
          </w:p>
        </w:tc>
      </w:tr>
      <w:tr w:rsidR="000209DE" w:rsidRPr="00756183" w14:paraId="53E0A528" w14:textId="77777777" w:rsidTr="00E619CE">
        <w:tc>
          <w:tcPr>
            <w:tcW w:w="2913" w:type="dxa"/>
            <w:shd w:val="clear" w:color="auto" w:fill="auto"/>
          </w:tcPr>
          <w:p w14:paraId="5FC0C11C"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הגדרות</w:t>
            </w:r>
          </w:p>
        </w:tc>
        <w:tc>
          <w:tcPr>
            <w:tcW w:w="5377" w:type="dxa"/>
            <w:shd w:val="clear" w:color="auto" w:fill="auto"/>
          </w:tcPr>
          <w:p w14:paraId="00BD39B9"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2. בחוק זה- </w:t>
            </w:r>
          </w:p>
          <w:p w14:paraId="765C2CEB"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״אוויר״ – לרבות כל שכבות האטמוספירה העוטפות את כדור הארץ; </w:t>
            </w:r>
          </w:p>
          <w:p w14:paraId="493434D9"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״דלק״ – חומר העשוי לשמש מקור להפקת אנרגיה בדרך של בעירה או בדרך של אחרת העלולה לגרום לזיהום האוויר, לרבות נפט גולמי או חומר אורגני אחר ומוצריהם;</w:t>
            </w:r>
          </w:p>
          <w:p w14:paraId="72DC4969"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״מדד״ – מדד המחירים לצרכן שמפרסמת הלשכה המרכזית לסטטיסטיקה; </w:t>
            </w:r>
          </w:p>
          <w:p w14:paraId="07F94685"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״חוק אוויר נקי״ – חוק אוויר נקי, תשס״ח-2008; </w:t>
            </w:r>
          </w:p>
          <w:p w14:paraId="01131C16"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״חוק הבלו על דלק״ – חוק  הבלו על דלק, תשי״ח-1958;</w:t>
            </w:r>
          </w:p>
          <w:p w14:paraId="55291B35"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״חוק מס ערך מוסף״ – חוק מס ערך מוסף, תשל״ו-1975; </w:t>
            </w:r>
          </w:p>
          <w:p w14:paraId="2505A855"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״פליטה״ – פעולה המביאה לנוכחות מזהם באוויר, לרבות בדרך של התנדפות, אידוי או שחרור לאוויר של חומר במצב מוצק, נוזלי או גזי, במישרין או בעקיפין; </w:t>
            </w:r>
          </w:p>
          <w:p w14:paraId="65178F48"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״המנהל״ – המנהל כהגדרתו בפקודת מס הכנסה, או </w:t>
            </w:r>
            <w:proofErr w:type="spellStart"/>
            <w:r w:rsidRPr="00756183">
              <w:rPr>
                <w:rFonts w:ascii="David" w:hAnsi="David" w:cs="David" w:hint="cs"/>
                <w:sz w:val="26"/>
                <w:szCs w:val="26"/>
                <w:rtl/>
              </w:rPr>
              <w:t>סגנו</w:t>
            </w:r>
            <w:proofErr w:type="spellEnd"/>
            <w:r w:rsidRPr="00756183">
              <w:rPr>
                <w:rFonts w:ascii="David" w:hAnsi="David" w:cs="David" w:hint="cs"/>
                <w:sz w:val="26"/>
                <w:szCs w:val="26"/>
                <w:rtl/>
              </w:rPr>
              <w:t xml:space="preserve">; </w:t>
            </w:r>
          </w:p>
        </w:tc>
      </w:tr>
      <w:tr w:rsidR="000209DE" w:rsidRPr="00756183" w14:paraId="470B9D0E" w14:textId="77777777" w:rsidTr="00E619CE">
        <w:tc>
          <w:tcPr>
            <w:tcW w:w="2913" w:type="dxa"/>
            <w:shd w:val="clear" w:color="auto" w:fill="auto"/>
          </w:tcPr>
          <w:p w14:paraId="6C2CCDDD"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הטלת מס פחמן</w:t>
            </w:r>
          </w:p>
        </w:tc>
        <w:tc>
          <w:tcPr>
            <w:tcW w:w="5377" w:type="dxa"/>
            <w:shd w:val="clear" w:color="auto" w:fill="auto"/>
          </w:tcPr>
          <w:p w14:paraId="0DE28B6D"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3. פליטות פחמן יוטל עליהן מס לפי השיעור האמור בסעיף 5 לחוק זה.  </w:t>
            </w:r>
          </w:p>
        </w:tc>
      </w:tr>
      <w:tr w:rsidR="000209DE" w:rsidRPr="00756183" w14:paraId="5319452E" w14:textId="77777777" w:rsidTr="00E619CE">
        <w:tc>
          <w:tcPr>
            <w:tcW w:w="2913" w:type="dxa"/>
            <w:shd w:val="clear" w:color="auto" w:fill="auto"/>
          </w:tcPr>
          <w:p w14:paraId="2394EE5D"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הוועדה המייעצת</w:t>
            </w:r>
          </w:p>
        </w:tc>
        <w:tc>
          <w:tcPr>
            <w:tcW w:w="5377" w:type="dxa"/>
            <w:shd w:val="clear" w:color="auto" w:fill="auto"/>
          </w:tcPr>
          <w:p w14:paraId="23893C2E"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4. (א) השר להגנת הסביבה ימנה וועדה מייעצת שתורכב מתשעה חברים: </w:t>
            </w:r>
          </w:p>
          <w:p w14:paraId="62D674BE"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הממונה והוא יהיה יושב ראש הוועדה;</w:t>
            </w:r>
          </w:p>
          <w:p w14:paraId="58499A87"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נציג של משרד הכלכלה;</w:t>
            </w:r>
          </w:p>
          <w:p w14:paraId="1ABA1067"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נציג של המשרד להגנת הסביבה;</w:t>
            </w:r>
          </w:p>
          <w:p w14:paraId="6F13ED59"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 xml:space="preserve">נציג של משרד הרווחה; </w:t>
            </w:r>
          </w:p>
          <w:p w14:paraId="6A85566E"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lastRenderedPageBreak/>
              <w:t xml:space="preserve">נציג של רשות המסים; </w:t>
            </w:r>
          </w:p>
          <w:p w14:paraId="1851B7C5"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נציג של התאחדות התעשיינים;</w:t>
            </w:r>
          </w:p>
          <w:p w14:paraId="1203B312"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 xml:space="preserve">שני נציגי ציבור בעלי מומחיות בתחום מס פחמן; </w:t>
            </w:r>
          </w:p>
          <w:p w14:paraId="32F97D5A" w14:textId="77777777" w:rsidR="000209DE" w:rsidRPr="00756183" w:rsidRDefault="000209DE" w:rsidP="00E619CE">
            <w:pPr>
              <w:pStyle w:val="ListParagraph"/>
              <w:numPr>
                <w:ilvl w:val="0"/>
                <w:numId w:val="2"/>
              </w:numPr>
              <w:spacing w:line="360" w:lineRule="auto"/>
              <w:jc w:val="both"/>
              <w:rPr>
                <w:rFonts w:ascii="David" w:hAnsi="David" w:cs="David"/>
                <w:sz w:val="26"/>
                <w:szCs w:val="26"/>
              </w:rPr>
            </w:pPr>
            <w:r w:rsidRPr="00756183">
              <w:rPr>
                <w:rFonts w:ascii="David" w:hAnsi="David" w:cs="David" w:hint="cs"/>
                <w:sz w:val="26"/>
                <w:szCs w:val="26"/>
                <w:rtl/>
              </w:rPr>
              <w:t xml:space="preserve">שני נציגים של מוסד מוכר כהגדרתו בסעיף 9 לחוק המועצה להשכלה גבוהה התשי״ח-1958. </w:t>
            </w:r>
          </w:p>
          <w:p w14:paraId="284AA7EF"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(ב) הוועדה תקבע את סדרי דיוניה; הדיונים יהיו פתוחים לציבור.  </w:t>
            </w:r>
          </w:p>
        </w:tc>
      </w:tr>
      <w:tr w:rsidR="000209DE" w:rsidRPr="00756183" w14:paraId="78445907" w14:textId="77777777" w:rsidTr="00E619CE">
        <w:tc>
          <w:tcPr>
            <w:tcW w:w="2913" w:type="dxa"/>
            <w:shd w:val="clear" w:color="auto" w:fill="auto"/>
          </w:tcPr>
          <w:p w14:paraId="0B7FC8E3"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lastRenderedPageBreak/>
              <w:t>מנגנון קביעת שיעורי המס</w:t>
            </w:r>
          </w:p>
        </w:tc>
        <w:tc>
          <w:tcPr>
            <w:tcW w:w="5377" w:type="dxa"/>
            <w:shd w:val="clear" w:color="auto" w:fill="auto"/>
          </w:tcPr>
          <w:p w14:paraId="404A5168"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5. (א)  מס הפחמן יעמוד על 42 דולר לטון פחמן. </w:t>
            </w:r>
          </w:p>
          <w:p w14:paraId="7E21CB4F" w14:textId="77777777" w:rsidR="000209DE" w:rsidRPr="00756183" w:rsidRDefault="000209DE" w:rsidP="00E619CE">
            <w:pPr>
              <w:spacing w:line="360" w:lineRule="auto"/>
              <w:rPr>
                <w:rFonts w:ascii="David" w:hAnsi="David" w:cs="David"/>
                <w:sz w:val="26"/>
                <w:szCs w:val="26"/>
              </w:rPr>
            </w:pPr>
            <w:r w:rsidRPr="00756183">
              <w:rPr>
                <w:rFonts w:ascii="David" w:hAnsi="David" w:cs="David" w:hint="cs"/>
                <w:sz w:val="26"/>
                <w:szCs w:val="26"/>
                <w:rtl/>
              </w:rPr>
              <w:t xml:space="preserve">(ב) בכל שנה תבחן הוועדה את שיעור המס ותערוך בו שינויים לפי הצורך באישור שר האוצר והשר להגנת הסביבה. </w:t>
            </w:r>
          </w:p>
          <w:p w14:paraId="71818F4E" w14:textId="77777777" w:rsidR="000209DE" w:rsidRPr="00756183" w:rsidRDefault="000209DE" w:rsidP="000209DE">
            <w:pPr>
              <w:widowControl/>
              <w:numPr>
                <w:ilvl w:val="0"/>
                <w:numId w:val="1"/>
              </w:numPr>
              <w:autoSpaceDE/>
              <w:autoSpaceDN/>
              <w:adjustRightInd/>
              <w:spacing w:before="0" w:line="360" w:lineRule="auto"/>
              <w:textAlignment w:val="auto"/>
              <w:rPr>
                <w:rFonts w:ascii="David" w:hAnsi="David" w:cs="David"/>
                <w:sz w:val="26"/>
                <w:szCs w:val="26"/>
              </w:rPr>
            </w:pPr>
            <w:r w:rsidRPr="00756183">
              <w:rPr>
                <w:rFonts w:ascii="David" w:hAnsi="David" w:cs="David" w:hint="cs"/>
                <w:sz w:val="26"/>
                <w:szCs w:val="26"/>
                <w:rtl/>
              </w:rPr>
              <w:t xml:space="preserve">לא יפחת מס הפחמן מ-40 דולר לטון ולא יעלה על   80  דולר לטון בחמש שנים הראשונות לתחולתו של החוק.  </w:t>
            </w:r>
          </w:p>
          <w:p w14:paraId="12639C0C" w14:textId="77777777" w:rsidR="000209DE" w:rsidRPr="00756183" w:rsidRDefault="000209DE" w:rsidP="000209DE">
            <w:pPr>
              <w:widowControl/>
              <w:numPr>
                <w:ilvl w:val="0"/>
                <w:numId w:val="1"/>
              </w:numPr>
              <w:autoSpaceDE/>
              <w:autoSpaceDN/>
              <w:adjustRightInd/>
              <w:spacing w:before="0" w:line="360" w:lineRule="auto"/>
              <w:textAlignment w:val="auto"/>
              <w:rPr>
                <w:rFonts w:ascii="David" w:hAnsi="David" w:cs="David"/>
                <w:sz w:val="26"/>
                <w:szCs w:val="26"/>
                <w:rtl/>
              </w:rPr>
            </w:pPr>
            <w:r w:rsidRPr="00756183">
              <w:rPr>
                <w:rFonts w:ascii="David" w:hAnsi="David" w:cs="David" w:hint="cs"/>
                <w:sz w:val="26"/>
                <w:szCs w:val="26"/>
                <w:rtl/>
              </w:rPr>
              <w:t> שיעורו של מס הפחמן יעלה בכל שנה, באופן הדרגתי.</w:t>
            </w:r>
          </w:p>
          <w:p w14:paraId="126643D1"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(ב)  שיעורו של מס הפחמן יעודכן בכל שנה בכפוף למדד. </w:t>
            </w:r>
          </w:p>
        </w:tc>
      </w:tr>
      <w:tr w:rsidR="000209DE" w:rsidRPr="00756183" w14:paraId="7DB49DF1" w14:textId="77777777" w:rsidTr="00E619CE">
        <w:tc>
          <w:tcPr>
            <w:tcW w:w="2913" w:type="dxa"/>
            <w:shd w:val="clear" w:color="auto" w:fill="auto"/>
          </w:tcPr>
          <w:p w14:paraId="711852E8"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גביית מס פחמן</w:t>
            </w:r>
          </w:p>
        </w:tc>
        <w:tc>
          <w:tcPr>
            <w:tcW w:w="5377" w:type="dxa"/>
            <w:shd w:val="clear" w:color="auto" w:fill="auto"/>
          </w:tcPr>
          <w:p w14:paraId="4D3187BD" w14:textId="77777777" w:rsidR="000209DE" w:rsidRPr="00756183" w:rsidRDefault="000209DE" w:rsidP="00E619CE">
            <w:pPr>
              <w:spacing w:line="360" w:lineRule="auto"/>
              <w:rPr>
                <w:rFonts w:ascii="David" w:hAnsi="David" w:cs="David"/>
                <w:sz w:val="26"/>
                <w:szCs w:val="26"/>
              </w:rPr>
            </w:pPr>
            <w:r w:rsidRPr="00756183">
              <w:rPr>
                <w:rFonts w:ascii="David" w:hAnsi="David" w:cs="David" w:hint="cs"/>
                <w:sz w:val="26"/>
                <w:szCs w:val="26"/>
                <w:rtl/>
              </w:rPr>
              <w:t>6. (א)  מס פחמן ניתן לגביה לפי פקודת המסים (גביה), והוראות אותה פקודה, למעט סעיף 12 שבה, יחולו על מס הפחמן כאמור.</w:t>
            </w:r>
          </w:p>
          <w:p w14:paraId="00314870"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(ב)  הוראות סעיפים 102(ב), 102א ו-102ב לחוק מס ערך מוסף, יחולו על גבייה כאמור בסעיף קטן (א), בשינויים המחויבים.</w:t>
            </w:r>
          </w:p>
        </w:tc>
      </w:tr>
      <w:tr w:rsidR="000209DE" w:rsidRPr="00756183" w14:paraId="760B3C68" w14:textId="77777777" w:rsidTr="00E619CE">
        <w:tc>
          <w:tcPr>
            <w:tcW w:w="2913" w:type="dxa"/>
            <w:shd w:val="clear" w:color="auto" w:fill="auto"/>
          </w:tcPr>
          <w:p w14:paraId="151C1BAB"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קביעת יעדים</w:t>
            </w:r>
          </w:p>
        </w:tc>
        <w:tc>
          <w:tcPr>
            <w:tcW w:w="5377" w:type="dxa"/>
            <w:shd w:val="clear" w:color="auto" w:fill="auto"/>
          </w:tcPr>
          <w:p w14:paraId="725E2D62"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7.  (א)  הממשלה, לאחר התייעצות עם וועדת הפנים והגנת הסביבה של הכנסת ועם רשות האנרגיה והמשרד להגנת הסביבה, תקבע את יעדי אקלים להפחתת סך הפליטות בחוק חוק אוויר נקי. </w:t>
            </w:r>
          </w:p>
          <w:p w14:paraId="220006A2"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 (ב)  השר להגנת הסביבה, רשאי, בצו, לאחר התייעצות עם וועדת הפנים והגנת הסביבה של הכנסת, רשות האנרגיה והרשות להגנת הסביבה לעדכן את יעדי הפחתות שאומצו לפי סעיף 8(א) ובלבד ששיעור זה לא יפחת משיעור של 30%. </w:t>
            </w:r>
          </w:p>
        </w:tc>
      </w:tr>
      <w:tr w:rsidR="000209DE" w:rsidRPr="00756183" w14:paraId="3260FFCC" w14:textId="77777777" w:rsidTr="00E619CE">
        <w:tc>
          <w:tcPr>
            <w:tcW w:w="2913" w:type="dxa"/>
            <w:shd w:val="clear" w:color="auto" w:fill="auto"/>
          </w:tcPr>
          <w:p w14:paraId="28194D88"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lastRenderedPageBreak/>
              <w:t xml:space="preserve">ייעוד תקבולי מסים </w:t>
            </w:r>
          </w:p>
        </w:tc>
        <w:tc>
          <w:tcPr>
            <w:tcW w:w="5377" w:type="dxa"/>
            <w:shd w:val="clear" w:color="auto" w:fill="auto"/>
          </w:tcPr>
          <w:p w14:paraId="6DC015AC"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8. הממשלה תקים קרן לניהול כספים שהתקבלו ממסים לפי חוק זה. כספי הקרן יועברו למטרות הבאות: </w:t>
            </w:r>
          </w:p>
          <w:p w14:paraId="7D0C5B52"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(א)  החזרת מס למשקי בית ולמעסיקים: המנהל, לאחר התייעצות עם שר האוצר, יקבע הקלות על נטל המס, לרבות הקלה במס הכנסה ומיסי חברות והטבות מס.</w:t>
            </w:r>
          </w:p>
          <w:p w14:paraId="5E185219"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 (ב)   עידוד השקעות ירוקות ומחקר ופיתוח: שר האוצר יקבע בצו מתן סובסידיות לעידוד השקעות ירוקות ולמחקר ופיתוח לרבות סובסידיות למעבר לייצור באנרגיות מתחדשות, סובסידיות לפיתוח ושימוש בטכנולוגיות חדשניות מופחתות פחמן, וסובסידיות לפרויקטים שמטרתם ביטחון אנרגטי והתייעלות אנרגטית. </w:t>
            </w:r>
          </w:p>
          <w:p w14:paraId="661265EB"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(ג) החזרים על אנרגיה מתחדשת: שר האוצר בהתייעצות עם המנהל, יקבע בצו את שיעור הפיצוי שיינתן למשקי בית, עסקים ותעשייה עבוד העלויות הכרוכות במעבר לשימוש באנרגיה מתחדשת. </w:t>
            </w:r>
          </w:p>
          <w:p w14:paraId="6ADCC43B"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 xml:space="preserve">(ד) העברת תקבולים לתקציב המדינה הכללי: שר האוצר יקבע בצו את שיעור התקבולים ממס פחמן על דלקים שיועבר לתקציב המדינה הכללי ובלבד שאותו שיעור לא יעלה על 50%. </w:t>
            </w:r>
          </w:p>
        </w:tc>
      </w:tr>
      <w:tr w:rsidR="000209DE" w:rsidRPr="00756183" w14:paraId="43AFB7A3" w14:textId="77777777" w:rsidTr="00E619CE">
        <w:tc>
          <w:tcPr>
            <w:tcW w:w="2913" w:type="dxa"/>
            <w:shd w:val="clear" w:color="auto" w:fill="auto"/>
          </w:tcPr>
          <w:p w14:paraId="4E421265"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אצילת סמכויות</w:t>
            </w:r>
          </w:p>
        </w:tc>
        <w:tc>
          <w:tcPr>
            <w:tcW w:w="5377" w:type="dxa"/>
            <w:shd w:val="clear" w:color="auto" w:fill="auto"/>
          </w:tcPr>
          <w:p w14:paraId="57C88C00"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9.   המנהל רשאי לאצול מסמכויותיו ומתפקידיו לפי חוק זה, לעובד מדינה אחר, אם בדרך כלל או לעניין מסוים, או לאזור או למקום מסוים.</w:t>
            </w:r>
          </w:p>
        </w:tc>
      </w:tr>
      <w:tr w:rsidR="000209DE" w:rsidRPr="00756183" w14:paraId="320845AB" w14:textId="77777777" w:rsidTr="00E619CE">
        <w:tc>
          <w:tcPr>
            <w:tcW w:w="2913" w:type="dxa"/>
            <w:shd w:val="clear" w:color="auto" w:fill="auto"/>
          </w:tcPr>
          <w:p w14:paraId="4724C7AC"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השר הממונה</w:t>
            </w:r>
          </w:p>
        </w:tc>
        <w:tc>
          <w:tcPr>
            <w:tcW w:w="5377" w:type="dxa"/>
            <w:shd w:val="clear" w:color="auto" w:fill="auto"/>
          </w:tcPr>
          <w:p w14:paraId="690CFB0E"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10.   שר האוצר ממונה על ביצוע חוק זה והוא רשאי להתקין תקנות בכל ענין הנוגע לביצוע.</w:t>
            </w:r>
          </w:p>
        </w:tc>
      </w:tr>
      <w:tr w:rsidR="000209DE" w:rsidRPr="00756183" w14:paraId="625F7DF3" w14:textId="77777777" w:rsidTr="00E619CE">
        <w:tc>
          <w:tcPr>
            <w:tcW w:w="2913" w:type="dxa"/>
            <w:shd w:val="clear" w:color="auto" w:fill="auto"/>
          </w:tcPr>
          <w:p w14:paraId="02657516" w14:textId="77777777" w:rsidR="000209DE" w:rsidRPr="00756183" w:rsidRDefault="000209DE" w:rsidP="00E619CE">
            <w:pPr>
              <w:spacing w:line="360" w:lineRule="auto"/>
              <w:rPr>
                <w:rFonts w:ascii="David" w:hAnsi="David" w:cs="David"/>
                <w:sz w:val="26"/>
                <w:szCs w:val="26"/>
                <w:rtl/>
              </w:rPr>
            </w:pPr>
            <w:r w:rsidRPr="00756183">
              <w:rPr>
                <w:rFonts w:ascii="David" w:hAnsi="David" w:cs="David" w:hint="cs"/>
                <w:sz w:val="26"/>
                <w:szCs w:val="26"/>
                <w:rtl/>
              </w:rPr>
              <w:t>תחילה</w:t>
            </w:r>
          </w:p>
        </w:tc>
        <w:tc>
          <w:tcPr>
            <w:tcW w:w="5377" w:type="dxa"/>
            <w:shd w:val="clear" w:color="auto" w:fill="auto"/>
          </w:tcPr>
          <w:p w14:paraId="094976CE" w14:textId="77777777" w:rsidR="000209DE" w:rsidRPr="00756183" w:rsidRDefault="000209DE" w:rsidP="00E619CE">
            <w:pPr>
              <w:spacing w:line="360" w:lineRule="auto"/>
              <w:rPr>
                <w:rFonts w:ascii="David" w:hAnsi="David" w:cs="David"/>
                <w:sz w:val="26"/>
                <w:szCs w:val="26"/>
                <w:rtl/>
              </w:rPr>
            </w:pPr>
            <w:r w:rsidRPr="00756183">
              <w:rPr>
                <w:rStyle w:val="big-number"/>
                <w:rFonts w:ascii="David" w:hAnsi="David" w:cs="David" w:hint="cs"/>
                <w:color w:val="000000" w:themeColor="text1"/>
                <w:sz w:val="26"/>
                <w:szCs w:val="26"/>
                <w:rtl/>
              </w:rPr>
              <w:t>11.  </w:t>
            </w:r>
            <w:r w:rsidRPr="00756183">
              <w:rPr>
                <w:rStyle w:val="apple-converted-space"/>
                <w:rFonts w:ascii="David" w:hAnsi="David" w:cs="David" w:hint="cs"/>
                <w:color w:val="000000" w:themeColor="text1"/>
                <w:sz w:val="26"/>
                <w:szCs w:val="26"/>
                <w:rtl/>
              </w:rPr>
              <w:t> </w:t>
            </w:r>
            <w:r w:rsidRPr="00756183">
              <w:rPr>
                <w:rStyle w:val="default"/>
                <w:rFonts w:ascii="David" w:hAnsi="David" w:cs="David" w:hint="cs"/>
                <w:sz w:val="26"/>
                <w:szCs w:val="26"/>
                <w:rtl/>
              </w:rPr>
              <w:t xml:space="preserve">החוק יחול </w:t>
            </w:r>
            <w:r w:rsidRPr="00756183">
              <w:rPr>
                <w:rFonts w:ascii="David" w:hAnsi="David" w:cs="David" w:hint="cs"/>
                <w:color w:val="000000" w:themeColor="text1"/>
                <w:sz w:val="26"/>
                <w:szCs w:val="26"/>
                <w:rtl/>
              </w:rPr>
              <w:t xml:space="preserve"> שלושה חודשים מיום פרסומו. </w:t>
            </w:r>
          </w:p>
        </w:tc>
      </w:tr>
    </w:tbl>
    <w:p w14:paraId="4DE03012" w14:textId="448FD517" w:rsidR="000209DE" w:rsidRDefault="000209DE" w:rsidP="000209DE">
      <w:pPr>
        <w:pStyle w:val="p00"/>
        <w:bidi/>
        <w:spacing w:before="72" w:beforeAutospacing="0" w:after="0" w:afterAutospacing="0" w:line="360" w:lineRule="auto"/>
        <w:ind w:right="1134"/>
        <w:jc w:val="center"/>
        <w:rPr>
          <w:rFonts w:ascii="David" w:hAnsi="David" w:cs="David"/>
          <w:sz w:val="26"/>
          <w:szCs w:val="26"/>
          <w:rtl/>
        </w:rPr>
      </w:pPr>
    </w:p>
    <w:p w14:paraId="5CEEA134" w14:textId="49AB3D87" w:rsidR="00756183" w:rsidRDefault="00756183" w:rsidP="00756183">
      <w:pPr>
        <w:pStyle w:val="p00"/>
        <w:bidi/>
        <w:spacing w:before="72" w:beforeAutospacing="0" w:after="0" w:afterAutospacing="0" w:line="360" w:lineRule="auto"/>
        <w:ind w:right="1134"/>
        <w:jc w:val="center"/>
        <w:rPr>
          <w:rFonts w:ascii="David" w:hAnsi="David" w:cs="David"/>
          <w:sz w:val="26"/>
          <w:szCs w:val="26"/>
          <w:rtl/>
        </w:rPr>
      </w:pPr>
    </w:p>
    <w:p w14:paraId="496444A0" w14:textId="26A98D23" w:rsidR="00756183" w:rsidRDefault="00756183" w:rsidP="00756183">
      <w:pPr>
        <w:pStyle w:val="p00"/>
        <w:bidi/>
        <w:spacing w:before="72" w:beforeAutospacing="0" w:after="0" w:afterAutospacing="0" w:line="360" w:lineRule="auto"/>
        <w:ind w:right="1134"/>
        <w:jc w:val="center"/>
        <w:rPr>
          <w:rFonts w:ascii="David" w:hAnsi="David" w:cs="David"/>
          <w:sz w:val="26"/>
          <w:szCs w:val="26"/>
          <w:rtl/>
        </w:rPr>
      </w:pPr>
    </w:p>
    <w:p w14:paraId="5198377A" w14:textId="57953343" w:rsidR="00756183" w:rsidRDefault="00756183" w:rsidP="00756183">
      <w:pPr>
        <w:pStyle w:val="p00"/>
        <w:bidi/>
        <w:spacing w:before="72" w:beforeAutospacing="0" w:after="0" w:afterAutospacing="0" w:line="360" w:lineRule="auto"/>
        <w:ind w:right="1134"/>
        <w:jc w:val="center"/>
        <w:rPr>
          <w:rFonts w:ascii="David" w:hAnsi="David" w:cs="David"/>
          <w:sz w:val="26"/>
          <w:szCs w:val="26"/>
          <w:rtl/>
        </w:rPr>
      </w:pPr>
    </w:p>
    <w:p w14:paraId="11DC796B" w14:textId="522ABCCF" w:rsidR="00756183" w:rsidRDefault="00756183" w:rsidP="00756183">
      <w:pPr>
        <w:pStyle w:val="p00"/>
        <w:bidi/>
        <w:spacing w:before="72" w:beforeAutospacing="0" w:after="0" w:afterAutospacing="0" w:line="360" w:lineRule="auto"/>
        <w:ind w:right="1134"/>
        <w:jc w:val="center"/>
        <w:rPr>
          <w:rFonts w:ascii="David" w:hAnsi="David" w:cs="David"/>
          <w:sz w:val="26"/>
          <w:szCs w:val="26"/>
          <w:rtl/>
        </w:rPr>
      </w:pPr>
    </w:p>
    <w:p w14:paraId="4C9A4137" w14:textId="77777777" w:rsidR="00756183" w:rsidRPr="00756183" w:rsidRDefault="00756183" w:rsidP="00756183">
      <w:pPr>
        <w:pStyle w:val="p00"/>
        <w:bidi/>
        <w:spacing w:before="72" w:beforeAutospacing="0" w:after="0" w:afterAutospacing="0" w:line="360" w:lineRule="auto"/>
        <w:ind w:right="1134"/>
        <w:jc w:val="center"/>
        <w:rPr>
          <w:rFonts w:ascii="David" w:hAnsi="David" w:cs="David"/>
          <w:sz w:val="26"/>
          <w:szCs w:val="26"/>
          <w:rtl/>
        </w:rPr>
      </w:pPr>
    </w:p>
    <w:p w14:paraId="2CA10D50" w14:textId="77777777" w:rsidR="000209DE" w:rsidRPr="00756183" w:rsidRDefault="000209DE" w:rsidP="000209DE">
      <w:pPr>
        <w:pStyle w:val="p00"/>
        <w:bidi/>
        <w:spacing w:before="72" w:beforeAutospacing="0" w:after="0" w:afterAutospacing="0" w:line="360" w:lineRule="auto"/>
        <w:ind w:right="1134"/>
        <w:jc w:val="center"/>
        <w:rPr>
          <w:rFonts w:ascii="David" w:hAnsi="David" w:cs="David"/>
          <w:sz w:val="26"/>
          <w:szCs w:val="26"/>
          <w:rtl/>
        </w:rPr>
      </w:pPr>
      <w:r w:rsidRPr="00756183">
        <w:rPr>
          <w:rFonts w:ascii="David" w:hAnsi="David" w:cs="David" w:hint="cs"/>
          <w:sz w:val="26"/>
          <w:szCs w:val="26"/>
          <w:rtl/>
        </w:rPr>
        <w:lastRenderedPageBreak/>
        <w:t>דברי הסבר</w:t>
      </w:r>
    </w:p>
    <w:p w14:paraId="398889AF" w14:textId="77777777" w:rsidR="000209DE" w:rsidRPr="00756183" w:rsidRDefault="000209DE" w:rsidP="000209DE">
      <w:pPr>
        <w:pStyle w:val="p00"/>
        <w:bidi/>
        <w:spacing w:before="72" w:beforeAutospacing="0" w:after="0" w:afterAutospacing="0" w:line="360" w:lineRule="auto"/>
        <w:ind w:right="1134"/>
        <w:jc w:val="center"/>
        <w:rPr>
          <w:rFonts w:ascii="David" w:hAnsi="David" w:cs="David"/>
          <w:sz w:val="26"/>
          <w:szCs w:val="26"/>
          <w:vertAlign w:val="superscript"/>
          <w:rtl/>
        </w:rPr>
      </w:pPr>
    </w:p>
    <w:p w14:paraId="4616CD53"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t xml:space="preserve">מוצע לחוקק חוק חדש – חוק מיסוי פחמן </w:t>
      </w:r>
      <w:proofErr w:type="spellStart"/>
      <w:r w:rsidRPr="00756183">
        <w:rPr>
          <w:rFonts w:ascii="David" w:hAnsi="David" w:cs="David" w:hint="cs"/>
          <w:sz w:val="26"/>
          <w:szCs w:val="26"/>
          <w:rtl/>
        </w:rPr>
        <w:t>התשפ"א</w:t>
      </w:r>
      <w:proofErr w:type="spellEnd"/>
      <w:r w:rsidRPr="00756183">
        <w:rPr>
          <w:rFonts w:ascii="David" w:hAnsi="David" w:cs="David" w:hint="cs"/>
          <w:sz w:val="26"/>
          <w:szCs w:val="26"/>
          <w:rtl/>
        </w:rPr>
        <w:t xml:space="preserve"> 2021 (להלן: החוק) במטרה לקבוע הסדרי מיסוי חדשים לפחמן מדלקים ושינוי מס הבלו המוטל על דלקים עד כה. </w:t>
      </w:r>
    </w:p>
    <w:p w14:paraId="73CFBF51"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t xml:space="preserve">מטרתו של מיסוי פחמן על דלקים הינו מתן פתרון לכשל השוק הנוצר כתוצאה מכך שהגורם המזהם אינו משלם עבור הנזק שנגרם מפליטת גזי חממה לאוויר. </w:t>
      </w:r>
    </w:p>
    <w:p w14:paraId="03EB8249"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t xml:space="preserve">הסיבה למשבר האקלים הינה הצטברות עודפת של גזי חממה באטמוספרה בשל שריפת דלקים. כיום, על דלקים מזהמים בישראל מוטל מס בלו, לפי חוק הבלו על דלק, </w:t>
      </w:r>
      <w:r w:rsidRPr="00756183">
        <w:rPr>
          <w:rStyle w:val="default"/>
          <w:rFonts w:ascii="David" w:hAnsi="David" w:cs="David" w:hint="cs"/>
          <w:sz w:val="26"/>
          <w:szCs w:val="26"/>
          <w:rtl/>
        </w:rPr>
        <w:t xml:space="preserve">תשי"ח-1958 אך מס זה אינו משקף את מלוא העלויות החיצוניות של פליטת מזיהום אוויר וגזי חממה. </w:t>
      </w:r>
      <w:r w:rsidRPr="00756183">
        <w:rPr>
          <w:rFonts w:ascii="David" w:hAnsi="David" w:cs="David" w:hint="cs"/>
          <w:sz w:val="26"/>
          <w:szCs w:val="26"/>
          <w:rtl/>
        </w:rPr>
        <w:t xml:space="preserve">מס זה יאפשר הפנמה של העלויות החיצוניות שנגרמות כתוצאה מאותן פליטות של גזי חממה ע"י המזהמים ותשלום ישירות עליהן. </w:t>
      </w:r>
    </w:p>
    <w:p w14:paraId="7CF1E7BC"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t xml:space="preserve">מטרתו של יישום מס הפחמן על דלק הינה </w:t>
      </w:r>
      <w:proofErr w:type="spellStart"/>
      <w:r w:rsidRPr="00756183">
        <w:rPr>
          <w:rFonts w:ascii="David" w:hAnsi="David" w:cs="David" w:hint="cs"/>
          <w:sz w:val="26"/>
          <w:szCs w:val="26"/>
          <w:rtl/>
        </w:rPr>
        <w:t>תמרוץ</w:t>
      </w:r>
      <w:proofErr w:type="spellEnd"/>
      <w:r w:rsidRPr="00756183">
        <w:rPr>
          <w:rFonts w:ascii="David" w:hAnsi="David" w:cs="David" w:hint="cs"/>
          <w:sz w:val="26"/>
          <w:szCs w:val="26"/>
          <w:rtl/>
        </w:rPr>
        <w:t xml:space="preserve"> התייעלות אנרגטית ומעבר לאנרגיה מתחדשת. שימוש ביישום מס פחמן שומר על המטרות הפיסקליות של גביית מיסים ולכן כמעט ואין פגיעה או חריגה מיעדי הגידול בתוצר הלאומי הגולמי שנקבעו וקיימת שמירה על יעדי הצמיחה במשק על אף המעבר לכלכלה דלת פחמן. </w:t>
      </w:r>
    </w:p>
    <w:p w14:paraId="6754007E"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t xml:space="preserve">כיום, קיימת הסכמה בקרב מומחים רבים בעולם לפיה יישום מנגנון של תמחור פחמן מהווה פעולה יעילה ביותר לעידוד הפחתת פליטות גזי חממה במשק בטווח הארוך וליצירת וודאות בשווקים השונים. </w:t>
      </w:r>
    </w:p>
    <w:p w14:paraId="1CA3E2E1"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t xml:space="preserve">בחוק זה ישנו מנגנון הקובע את ייעודי תקבולי המס פחמן על דלק במטרה לצמצם את הפגיעה הכלכלית הנוצרת מהליכי המיסוי ע"י קביעת מנגנוני החזרים למשקי הבית, בפרט לאלה הנמצאים בעשירונים התחתונים והקלות מיסוי לתעשייה וזאת בהתחשב בעובדה כי עמידה ביעדי האנרגיה למעבר לאנרגיה מתחדשת יוביל לייקור משמעותי במחירי החשמל למשקי הבית, עסקים ולתעשייה בכלל. כמו כן, ישנו ניתוב של חלק מתקבולי המס ליעדים סביבתיים מחוללי צמיחה כלכלית שיתרמו בהליך המעבר לכלכלה דלת פחמן כגון השקעות בפרויקטים ירוקים שמטרתם מעבר לכלכה דלת פחמן פליטות גזי חממה וסובסידיות של מחקר ופיתוח של טכנולוגיות ירוקות. </w:t>
      </w:r>
    </w:p>
    <w:p w14:paraId="564383F0" w14:textId="77777777" w:rsidR="000209DE" w:rsidRPr="00756183" w:rsidRDefault="000209DE" w:rsidP="000209DE">
      <w:pPr>
        <w:pStyle w:val="p00"/>
        <w:bidi/>
        <w:spacing w:before="72" w:beforeAutospacing="0" w:after="0" w:afterAutospacing="0" w:line="360" w:lineRule="auto"/>
        <w:ind w:right="1134"/>
        <w:jc w:val="both"/>
        <w:rPr>
          <w:rStyle w:val="apple-converted-space"/>
          <w:rFonts w:ascii="David" w:hAnsi="David" w:cs="David"/>
          <w:sz w:val="26"/>
          <w:szCs w:val="26"/>
          <w:rtl/>
        </w:rPr>
      </w:pPr>
      <w:r w:rsidRPr="00756183">
        <w:rPr>
          <w:rFonts w:ascii="David" w:hAnsi="David" w:cs="David" w:hint="cs"/>
          <w:sz w:val="26"/>
          <w:szCs w:val="26"/>
          <w:rtl/>
        </w:rPr>
        <w:t xml:space="preserve"> </w:t>
      </w:r>
    </w:p>
    <w:p w14:paraId="772982D9" w14:textId="77777777"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Style w:val="apple-converted-space"/>
          <w:rFonts w:ascii="David" w:hAnsi="David" w:cs="David" w:hint="cs"/>
          <w:sz w:val="26"/>
          <w:szCs w:val="26"/>
          <w:rtl/>
        </w:rPr>
        <w:t>הצעת חוק זו מתבססת על המודל הגרמני של מס פחמן כך ש</w:t>
      </w:r>
      <w:r w:rsidRPr="00756183">
        <w:rPr>
          <w:rFonts w:ascii="David" w:hAnsi="David" w:cs="David" w:hint="cs"/>
          <w:sz w:val="26"/>
          <w:szCs w:val="26"/>
          <w:rtl/>
        </w:rPr>
        <w:t>קביעה של 30%</w:t>
      </w:r>
      <w:r w:rsidRPr="00756183">
        <w:rPr>
          <w:rFonts w:ascii="David" w:hAnsi="David" w:cs="David" w:hint="cs"/>
          <w:sz w:val="26"/>
          <w:szCs w:val="26"/>
        </w:rPr>
        <w:t xml:space="preserve"> </w:t>
      </w:r>
      <w:r w:rsidRPr="00756183">
        <w:rPr>
          <w:rFonts w:ascii="David" w:hAnsi="David" w:cs="David" w:hint="cs"/>
          <w:sz w:val="26"/>
          <w:szCs w:val="26"/>
          <w:rtl/>
        </w:rPr>
        <w:t xml:space="preserve">היא בהתאם ליעדי משק האנרגיה שקבעה מדינת ישראל לשנת 2030 – 30% מייצור החשמל יהיה מאנרגיה מתחדשת. </w:t>
      </w:r>
    </w:p>
    <w:p w14:paraId="0E8DB7EB" w14:textId="034A3BAB" w:rsidR="000209DE" w:rsidRPr="00756183" w:rsidRDefault="000209DE" w:rsidP="000209DE">
      <w:pPr>
        <w:pStyle w:val="p00"/>
        <w:bidi/>
        <w:spacing w:before="72" w:beforeAutospacing="0" w:after="0" w:afterAutospacing="0" w:line="360" w:lineRule="auto"/>
        <w:ind w:right="1134"/>
        <w:jc w:val="both"/>
        <w:rPr>
          <w:rFonts w:ascii="David" w:hAnsi="David" w:cs="David"/>
          <w:sz w:val="26"/>
          <w:szCs w:val="26"/>
          <w:rtl/>
        </w:rPr>
      </w:pPr>
      <w:r w:rsidRPr="00756183">
        <w:rPr>
          <w:rFonts w:ascii="David" w:hAnsi="David" w:cs="David" w:hint="cs"/>
          <w:sz w:val="26"/>
          <w:szCs w:val="26"/>
          <w:rtl/>
        </w:rPr>
        <w:lastRenderedPageBreak/>
        <w:t xml:space="preserve">*50% כך שלא יהי מצב בו מרבית תקבולי המס על פחמן מדלקים מיועדים לתקציב המדינה במקום ליעדים סביבתיים. </w:t>
      </w:r>
    </w:p>
    <w:p w14:paraId="0E986C03" w14:textId="77777777" w:rsidR="000209DE" w:rsidRPr="00756183" w:rsidRDefault="000209DE" w:rsidP="000209DE">
      <w:pPr>
        <w:pStyle w:val="Hesber"/>
        <w:ind w:firstLine="0"/>
        <w:rPr>
          <w:rFonts w:ascii="David" w:hAnsi="David"/>
          <w:sz w:val="26"/>
          <w:rtl/>
        </w:rPr>
      </w:pPr>
    </w:p>
    <w:p w14:paraId="087468DD" w14:textId="3475C228" w:rsidR="000209DE" w:rsidRPr="00756183" w:rsidRDefault="000209DE" w:rsidP="000209DE">
      <w:pPr>
        <w:pStyle w:val="Hesber"/>
        <w:ind w:firstLine="0"/>
        <w:rPr>
          <w:rFonts w:ascii="David" w:hAnsi="David"/>
          <w:sz w:val="26"/>
          <w:rtl/>
        </w:rPr>
      </w:pPr>
      <w:r w:rsidRPr="00756183">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756183">
        <w:rPr>
          <w:rFonts w:ascii="David" w:hAnsi="David" w:hint="cs"/>
          <w:sz w:val="26"/>
          <w:rtl/>
        </w:rPr>
        <w:t>ונאדין</w:t>
      </w:r>
      <w:proofErr w:type="spellEnd"/>
      <w:r w:rsidRPr="00756183">
        <w:rPr>
          <w:rFonts w:ascii="David" w:hAnsi="David" w:hint="cs"/>
          <w:sz w:val="26"/>
          <w:rtl/>
        </w:rPr>
        <w:t xml:space="preserve"> </w:t>
      </w:r>
      <w:proofErr w:type="spellStart"/>
      <w:r w:rsidRPr="00756183">
        <w:rPr>
          <w:rFonts w:ascii="David" w:hAnsi="David" w:hint="cs"/>
          <w:sz w:val="26"/>
          <w:rtl/>
        </w:rPr>
        <w:t>ותד</w:t>
      </w:r>
      <w:proofErr w:type="spellEnd"/>
      <w:r w:rsidRPr="00756183">
        <w:rPr>
          <w:rFonts w:ascii="David" w:hAnsi="David" w:hint="cs"/>
          <w:sz w:val="26"/>
          <w:rtl/>
        </w:rPr>
        <w:t xml:space="preserve">.  </w:t>
      </w:r>
    </w:p>
    <w:p w14:paraId="24A64782" w14:textId="1A120AF0" w:rsidR="00E24EEF" w:rsidRPr="00756183" w:rsidRDefault="00E24EEF" w:rsidP="000209DE">
      <w:pPr>
        <w:pStyle w:val="Hesber"/>
        <w:ind w:firstLine="0"/>
        <w:rPr>
          <w:rFonts w:ascii="David" w:hAnsi="David"/>
          <w:sz w:val="26"/>
          <w:rtl/>
        </w:rPr>
      </w:pPr>
    </w:p>
    <w:p w14:paraId="413A6251" w14:textId="77DAA20D" w:rsidR="00E24EEF" w:rsidRDefault="00E24EEF" w:rsidP="000209DE">
      <w:pPr>
        <w:pStyle w:val="Hesber"/>
        <w:ind w:firstLine="0"/>
        <w:rPr>
          <w:rtl/>
        </w:rPr>
      </w:pPr>
    </w:p>
    <w:p w14:paraId="1987CAC1" w14:textId="097A15AC" w:rsidR="00E24EEF" w:rsidRDefault="00E24EEF" w:rsidP="000209DE">
      <w:pPr>
        <w:pStyle w:val="Hesber"/>
        <w:ind w:firstLine="0"/>
        <w:rPr>
          <w:rtl/>
        </w:rPr>
      </w:pPr>
    </w:p>
    <w:p w14:paraId="2B9E2CDF" w14:textId="6E2C2221" w:rsidR="00E24EEF" w:rsidRDefault="00E24EEF" w:rsidP="000209DE">
      <w:pPr>
        <w:pStyle w:val="Hesber"/>
        <w:ind w:firstLine="0"/>
        <w:rPr>
          <w:rtl/>
        </w:rPr>
      </w:pPr>
    </w:p>
    <w:p w14:paraId="2E2631E4" w14:textId="0A54D2DF" w:rsidR="00E24EEF" w:rsidRDefault="00E24EEF" w:rsidP="000209DE">
      <w:pPr>
        <w:pStyle w:val="Hesber"/>
        <w:ind w:firstLine="0"/>
        <w:rPr>
          <w:rtl/>
        </w:rPr>
      </w:pPr>
    </w:p>
    <w:p w14:paraId="732A5CB9" w14:textId="3B340963" w:rsidR="00E24EEF" w:rsidRDefault="00E24EEF" w:rsidP="000209DE">
      <w:pPr>
        <w:pStyle w:val="Hesber"/>
        <w:ind w:firstLine="0"/>
        <w:rPr>
          <w:rtl/>
        </w:rPr>
      </w:pPr>
    </w:p>
    <w:p w14:paraId="5658EF42" w14:textId="2CDF9E14" w:rsidR="00E24EEF" w:rsidRDefault="00E24EEF" w:rsidP="000209DE">
      <w:pPr>
        <w:pStyle w:val="Hesber"/>
        <w:ind w:firstLine="0"/>
        <w:rPr>
          <w:rtl/>
        </w:rPr>
      </w:pPr>
    </w:p>
    <w:p w14:paraId="19C03CB6" w14:textId="7EE5C49E" w:rsidR="00E24EEF" w:rsidRDefault="00E24EEF" w:rsidP="000209DE">
      <w:pPr>
        <w:pStyle w:val="Hesber"/>
        <w:ind w:firstLine="0"/>
        <w:rPr>
          <w:rtl/>
        </w:rPr>
      </w:pPr>
    </w:p>
    <w:p w14:paraId="4FB4CB92" w14:textId="65F288B6" w:rsidR="00E24EEF" w:rsidRDefault="00E24EEF" w:rsidP="000209DE">
      <w:pPr>
        <w:pStyle w:val="Hesber"/>
        <w:ind w:firstLine="0"/>
        <w:rPr>
          <w:rtl/>
        </w:rPr>
      </w:pPr>
    </w:p>
    <w:p w14:paraId="2473A4CE" w14:textId="038641E4" w:rsidR="00E24EEF" w:rsidRDefault="00E24EEF" w:rsidP="000209DE">
      <w:pPr>
        <w:pStyle w:val="Hesber"/>
        <w:ind w:firstLine="0"/>
        <w:rPr>
          <w:rtl/>
        </w:rPr>
      </w:pPr>
    </w:p>
    <w:p w14:paraId="509A6D24" w14:textId="4F59E973" w:rsidR="00E24EEF" w:rsidRDefault="00E24EEF" w:rsidP="000209DE">
      <w:pPr>
        <w:pStyle w:val="Hesber"/>
        <w:ind w:firstLine="0"/>
        <w:rPr>
          <w:rtl/>
        </w:rPr>
      </w:pPr>
    </w:p>
    <w:p w14:paraId="475DC5C8" w14:textId="73795DCC" w:rsidR="00E24EEF" w:rsidRDefault="00E24EEF" w:rsidP="000209DE">
      <w:pPr>
        <w:pStyle w:val="Hesber"/>
        <w:ind w:firstLine="0"/>
        <w:rPr>
          <w:rtl/>
        </w:rPr>
      </w:pPr>
    </w:p>
    <w:p w14:paraId="12105AA4" w14:textId="1871FF0D" w:rsidR="00E24EEF" w:rsidRDefault="00E24EEF" w:rsidP="000209DE">
      <w:pPr>
        <w:pStyle w:val="Hesber"/>
        <w:ind w:firstLine="0"/>
        <w:rPr>
          <w:rtl/>
        </w:rPr>
      </w:pPr>
    </w:p>
    <w:p w14:paraId="68525569" w14:textId="39A3861F" w:rsidR="00E24EEF" w:rsidRDefault="00E24EEF" w:rsidP="000209DE">
      <w:pPr>
        <w:pStyle w:val="Hesber"/>
        <w:ind w:firstLine="0"/>
        <w:rPr>
          <w:rtl/>
        </w:rPr>
      </w:pPr>
    </w:p>
    <w:p w14:paraId="515D1918" w14:textId="7B9892A5" w:rsidR="00E24EEF" w:rsidRDefault="00E24EEF" w:rsidP="000209DE">
      <w:pPr>
        <w:pStyle w:val="Hesber"/>
        <w:ind w:firstLine="0"/>
        <w:rPr>
          <w:rtl/>
        </w:rPr>
      </w:pPr>
    </w:p>
    <w:p w14:paraId="273EB77C" w14:textId="2C11C71F" w:rsidR="00E24EEF" w:rsidRDefault="00E24EEF" w:rsidP="000209DE">
      <w:pPr>
        <w:pStyle w:val="Hesber"/>
        <w:ind w:firstLine="0"/>
        <w:rPr>
          <w:rtl/>
        </w:rPr>
      </w:pPr>
    </w:p>
    <w:p w14:paraId="4110B725" w14:textId="394ED9D6" w:rsidR="00E24EEF" w:rsidRDefault="00E24EEF" w:rsidP="000209DE">
      <w:pPr>
        <w:pStyle w:val="Hesber"/>
        <w:ind w:firstLine="0"/>
        <w:rPr>
          <w:rtl/>
        </w:rPr>
      </w:pPr>
    </w:p>
    <w:p w14:paraId="2107C6F4" w14:textId="42683ACF" w:rsidR="00E24EEF" w:rsidRDefault="00E24EEF" w:rsidP="000209DE">
      <w:pPr>
        <w:pStyle w:val="Hesber"/>
        <w:ind w:firstLine="0"/>
        <w:rPr>
          <w:rtl/>
        </w:rPr>
      </w:pPr>
    </w:p>
    <w:p w14:paraId="33A4EB92" w14:textId="58EE07BF" w:rsidR="00E24EEF" w:rsidRDefault="00E24EEF" w:rsidP="000209DE">
      <w:pPr>
        <w:pStyle w:val="Hesber"/>
        <w:ind w:firstLine="0"/>
        <w:rPr>
          <w:rtl/>
        </w:rPr>
      </w:pPr>
    </w:p>
    <w:p w14:paraId="24234479" w14:textId="7806A7DA" w:rsidR="00E24EEF" w:rsidRDefault="00E24EEF" w:rsidP="000209DE">
      <w:pPr>
        <w:pStyle w:val="Hesber"/>
        <w:ind w:firstLine="0"/>
        <w:rPr>
          <w:rtl/>
        </w:rPr>
      </w:pPr>
    </w:p>
    <w:p w14:paraId="1E441673" w14:textId="6A5E2058" w:rsidR="00E24EEF" w:rsidRPr="008A4B58" w:rsidRDefault="00E24EEF" w:rsidP="00E24EEF">
      <w:pPr>
        <w:pStyle w:val="HeadHatzaotHok"/>
        <w:rPr>
          <w:rFonts w:ascii="David" w:hAnsi="David"/>
          <w:sz w:val="26"/>
          <w:rtl/>
        </w:rPr>
      </w:pPr>
      <w:r w:rsidRPr="008A4B58">
        <w:rPr>
          <w:rFonts w:ascii="David" w:hAnsi="David" w:hint="cs"/>
          <w:sz w:val="26"/>
          <w:rtl/>
        </w:rPr>
        <w:lastRenderedPageBreak/>
        <w:t>הצעת חוק ניירות ערך (תיקון</w:t>
      </w:r>
      <w:r w:rsidR="001C0099" w:rsidRPr="008A4B58">
        <w:rPr>
          <w:rFonts w:ascii="David" w:hAnsi="David" w:hint="cs"/>
          <w:sz w:val="26"/>
          <w:rtl/>
        </w:rPr>
        <w:t xml:space="preserve"> - </w:t>
      </w:r>
      <w:r w:rsidRPr="008A4B58">
        <w:rPr>
          <w:rFonts w:ascii="David" w:hAnsi="David" w:hint="cs"/>
          <w:sz w:val="26"/>
          <w:rtl/>
        </w:rPr>
        <w:t xml:space="preserve">חובת גילוי בדוחות הכספיים של חברות ציבוריות אודות סיכונים סביבתיים),  </w:t>
      </w:r>
      <w:proofErr w:type="spellStart"/>
      <w:r w:rsidRPr="008A4B58">
        <w:rPr>
          <w:rFonts w:ascii="David" w:hAnsi="David" w:hint="cs"/>
          <w:sz w:val="26"/>
          <w:rtl/>
        </w:rPr>
        <w:t>התשפ"א</w:t>
      </w:r>
      <w:proofErr w:type="spellEnd"/>
      <w:r w:rsidRPr="008A4B58">
        <w:rPr>
          <w:rFonts w:ascii="David" w:hAnsi="David" w:hint="cs"/>
          <w:sz w:val="26"/>
          <w:rtl/>
        </w:rPr>
        <w:t xml:space="preserve"> </w:t>
      </w:r>
      <w:r w:rsidRPr="008A4B58">
        <w:rPr>
          <w:rFonts w:ascii="David" w:hAnsi="David" w:hint="cs"/>
          <w:sz w:val="26"/>
        </w:rPr>
        <w:t xml:space="preserve"> –</w:t>
      </w:r>
      <w:r w:rsidRPr="008A4B58">
        <w:rPr>
          <w:rFonts w:ascii="David" w:hAnsi="David" w:hint="cs"/>
          <w:sz w:val="26"/>
          <w:rtl/>
        </w:rPr>
        <w:t>2021</w:t>
      </w:r>
    </w:p>
    <w:tbl>
      <w:tblPr>
        <w:tblStyle w:val="TableGrid"/>
        <w:bidiVisual/>
        <w:tblW w:w="0" w:type="auto"/>
        <w:tblLook w:val="04A0" w:firstRow="1" w:lastRow="0" w:firstColumn="1" w:lastColumn="0" w:noHBand="0" w:noVBand="1"/>
      </w:tblPr>
      <w:tblGrid>
        <w:gridCol w:w="1779"/>
        <w:gridCol w:w="6511"/>
      </w:tblGrid>
      <w:tr w:rsidR="00E24EEF" w:rsidRPr="008A4B58" w14:paraId="0AF4A545" w14:textId="77777777" w:rsidTr="00E619CE">
        <w:tc>
          <w:tcPr>
            <w:tcW w:w="1779" w:type="dxa"/>
            <w:tcBorders>
              <w:top w:val="nil"/>
              <w:left w:val="nil"/>
              <w:bottom w:val="nil"/>
              <w:right w:val="nil"/>
            </w:tcBorders>
          </w:tcPr>
          <w:p w14:paraId="351DFD97"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תיקון סעיף 1</w:t>
            </w:r>
          </w:p>
        </w:tc>
        <w:tc>
          <w:tcPr>
            <w:tcW w:w="6511" w:type="dxa"/>
            <w:tcBorders>
              <w:top w:val="nil"/>
              <w:left w:val="nil"/>
              <w:bottom w:val="nil"/>
              <w:right w:val="nil"/>
            </w:tcBorders>
          </w:tcPr>
          <w:p w14:paraId="5A964C17" w14:textId="77777777" w:rsidR="00E24EEF" w:rsidRPr="008A4B58" w:rsidRDefault="00E24EEF" w:rsidP="00E619CE">
            <w:pPr>
              <w:pStyle w:val="HeadHatzaotHok"/>
              <w:jc w:val="left"/>
              <w:rPr>
                <w:rFonts w:ascii="David" w:hAnsi="David"/>
                <w:b w:val="0"/>
                <w:bCs w:val="0"/>
                <w:sz w:val="26"/>
                <w:rtl/>
              </w:rPr>
            </w:pPr>
            <w:r w:rsidRPr="008A4B58">
              <w:rPr>
                <w:rFonts w:ascii="David" w:hAnsi="David" w:hint="cs"/>
                <w:b w:val="0"/>
                <w:bCs w:val="0"/>
                <w:sz w:val="26"/>
                <w:rtl/>
              </w:rPr>
              <w:t>1. בחוק ניירות ערך התשכ״ח-1968 (להלן - החוק העיקרי) בסעיף 1, אחרי ההגדרה ״ מערכת דואר אלקטרוני מאובטח ״ יבוא:</w:t>
            </w:r>
          </w:p>
          <w:p w14:paraId="52F1FE13"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״מפגעים סביבתיים״ – כמשמעותן בחוק למניעת מפגעים סביבתיים (תביעות אזרחיות), תשנ"ב-1992. </w:t>
            </w:r>
          </w:p>
          <w:p w14:paraId="28ACF213"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2. בחוק העיקרי בסעיף 1, אחרי ההגדרה ״ גורם מפקח ״ יבוא:</w:t>
            </w:r>
          </w:p>
          <w:p w14:paraId="0DCF8E35"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״סיכונים סביבתיים״ – הסיכון להשפעה על הרווח והפסד כתוצאה מהוראות הנוגעות לאיכות הסביבה ואכיפתן, היכולות להתממש באם תישא החברה באחריות ישירה למפגע סביבתי.  </w:t>
            </w:r>
          </w:p>
          <w:p w14:paraId="6E8F4FC8" w14:textId="77777777" w:rsidR="00E24EEF" w:rsidRPr="008A4B58" w:rsidRDefault="00E24EEF" w:rsidP="00E619CE">
            <w:pPr>
              <w:pStyle w:val="HeadHatzaotHok"/>
              <w:jc w:val="both"/>
              <w:rPr>
                <w:rFonts w:ascii="David" w:hAnsi="David"/>
                <w:b w:val="0"/>
                <w:bCs w:val="0"/>
                <w:sz w:val="26"/>
                <w:rtl/>
              </w:rPr>
            </w:pPr>
          </w:p>
        </w:tc>
      </w:tr>
      <w:tr w:rsidR="00E24EEF" w:rsidRPr="008A4B58" w14:paraId="18BC7987" w14:textId="77777777" w:rsidTr="00E619CE">
        <w:tc>
          <w:tcPr>
            <w:tcW w:w="1779" w:type="dxa"/>
            <w:tcBorders>
              <w:top w:val="nil"/>
              <w:left w:val="nil"/>
              <w:bottom w:val="nil"/>
              <w:right w:val="nil"/>
            </w:tcBorders>
          </w:tcPr>
          <w:p w14:paraId="6674F40C" w14:textId="77777777" w:rsidR="00E24EEF" w:rsidRPr="008A4B58" w:rsidRDefault="00E24EEF" w:rsidP="00E619CE">
            <w:pPr>
              <w:pStyle w:val="HeadHatzaotHok"/>
              <w:jc w:val="left"/>
              <w:rPr>
                <w:rFonts w:ascii="David" w:hAnsi="David"/>
                <w:b w:val="0"/>
                <w:bCs w:val="0"/>
                <w:sz w:val="26"/>
                <w:rtl/>
              </w:rPr>
            </w:pPr>
          </w:p>
          <w:p w14:paraId="2FC3621A" w14:textId="77777777" w:rsidR="00E24EEF" w:rsidRPr="008A4B58" w:rsidRDefault="00E24EEF" w:rsidP="00E619CE">
            <w:pPr>
              <w:pStyle w:val="HeadHatzaotHok"/>
              <w:jc w:val="left"/>
              <w:rPr>
                <w:rFonts w:ascii="David" w:hAnsi="David"/>
                <w:b w:val="0"/>
                <w:bCs w:val="0"/>
                <w:sz w:val="26"/>
                <w:rtl/>
              </w:rPr>
            </w:pPr>
            <w:r w:rsidRPr="008A4B58">
              <w:rPr>
                <w:rFonts w:ascii="David" w:hAnsi="David" w:hint="cs"/>
                <w:b w:val="0"/>
                <w:bCs w:val="0"/>
                <w:sz w:val="26"/>
                <w:rtl/>
              </w:rPr>
              <w:t>גילוי על סיכונים סביבתיים בדוחות הכספיים</w:t>
            </w:r>
          </w:p>
          <w:p w14:paraId="75974EF1" w14:textId="77777777" w:rsidR="00E24EEF" w:rsidRPr="008A4B58" w:rsidRDefault="00E24EEF" w:rsidP="00E619CE">
            <w:pPr>
              <w:pStyle w:val="HeadHatzaotHok"/>
              <w:jc w:val="left"/>
              <w:rPr>
                <w:rFonts w:ascii="David" w:hAnsi="David"/>
                <w:b w:val="0"/>
                <w:bCs w:val="0"/>
                <w:sz w:val="26"/>
                <w:rtl/>
              </w:rPr>
            </w:pPr>
          </w:p>
        </w:tc>
        <w:tc>
          <w:tcPr>
            <w:tcW w:w="6511" w:type="dxa"/>
            <w:tcBorders>
              <w:top w:val="nil"/>
              <w:left w:val="nil"/>
              <w:bottom w:val="nil"/>
              <w:right w:val="nil"/>
            </w:tcBorders>
          </w:tcPr>
          <w:p w14:paraId="48BC690A"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3. אחרי סעיף 36ד לחוק העיקרי יבוא:</w:t>
            </w:r>
          </w:p>
          <w:p w14:paraId="7F167746"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36ה. (א)(1) חברה ציבורית תגלה בדוחותיה הכספיים השנתיים, הנערכים בהתאם לכללי חשבונאות מקובלים, על סיכונים סביבתיים בלא תלות בסיכויי בגודל הסיכון הסביבתי או בהסתברות להתממשותו.  </w:t>
            </w:r>
          </w:p>
          <w:p w14:paraId="1BEAC60C"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    (2) המוסד הישראלי לתקינה בחשבונאות יבצע את השינויים הנדרשים בכללי החשבונאות המקובלים לעניין עריכת הדוחות הכספיים לצורך יישומו של הסעיף לעיל.</w:t>
            </w:r>
          </w:p>
        </w:tc>
      </w:tr>
      <w:tr w:rsidR="00E24EEF" w:rsidRPr="008A4B58" w14:paraId="198D706A" w14:textId="77777777" w:rsidTr="00E619CE">
        <w:tc>
          <w:tcPr>
            <w:tcW w:w="1779" w:type="dxa"/>
            <w:tcBorders>
              <w:top w:val="nil"/>
              <w:left w:val="nil"/>
              <w:bottom w:val="nil"/>
              <w:right w:val="nil"/>
            </w:tcBorders>
          </w:tcPr>
          <w:p w14:paraId="118EE83E" w14:textId="77777777" w:rsidR="00E24EEF" w:rsidRPr="008A4B58" w:rsidRDefault="00E24EEF" w:rsidP="00E619CE">
            <w:pPr>
              <w:pStyle w:val="HeadHatzaotHok"/>
              <w:jc w:val="left"/>
              <w:rPr>
                <w:rFonts w:ascii="David" w:hAnsi="David"/>
                <w:b w:val="0"/>
                <w:bCs w:val="0"/>
                <w:sz w:val="26"/>
                <w:rtl/>
              </w:rPr>
            </w:pPr>
          </w:p>
        </w:tc>
        <w:tc>
          <w:tcPr>
            <w:tcW w:w="6511" w:type="dxa"/>
            <w:tcBorders>
              <w:top w:val="nil"/>
              <w:left w:val="nil"/>
              <w:bottom w:val="nil"/>
              <w:right w:val="nil"/>
            </w:tcBorders>
          </w:tcPr>
          <w:p w14:paraId="32704ED8"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(ב) השר להגנת הסביבה, לאחר התייעצות עם וועדת הפנים והגנת הסביבה והרשות להגנת הסביבה, יקבע בצו סיכונים סביבתיים שחובה על חברות ציבוריות לספק גילוי לגביהם בדוחות הכספיים השנתיים, ככל שהם קיימים. </w:t>
            </w:r>
          </w:p>
        </w:tc>
      </w:tr>
      <w:tr w:rsidR="00E24EEF" w:rsidRPr="008A4B58" w14:paraId="484ABA3D" w14:textId="77777777" w:rsidTr="00E619CE">
        <w:tc>
          <w:tcPr>
            <w:tcW w:w="1779" w:type="dxa"/>
            <w:tcBorders>
              <w:top w:val="nil"/>
              <w:left w:val="nil"/>
              <w:bottom w:val="nil"/>
              <w:right w:val="nil"/>
            </w:tcBorders>
          </w:tcPr>
          <w:p w14:paraId="621E51F8" w14:textId="77777777" w:rsidR="00E24EEF" w:rsidRPr="008A4B58" w:rsidRDefault="00E24EEF" w:rsidP="00E619CE">
            <w:pPr>
              <w:pStyle w:val="HeadHatzaotHok"/>
              <w:jc w:val="left"/>
              <w:rPr>
                <w:rFonts w:ascii="David" w:hAnsi="David"/>
                <w:b w:val="0"/>
                <w:bCs w:val="0"/>
                <w:sz w:val="26"/>
                <w:rtl/>
              </w:rPr>
            </w:pPr>
          </w:p>
        </w:tc>
        <w:tc>
          <w:tcPr>
            <w:tcW w:w="6511" w:type="dxa"/>
            <w:tcBorders>
              <w:top w:val="nil"/>
              <w:left w:val="nil"/>
              <w:bottom w:val="nil"/>
              <w:right w:val="nil"/>
            </w:tcBorders>
          </w:tcPr>
          <w:p w14:paraId="403B9187"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(ג) חברות ציבוריות יידרשו להציג הן תיאור איכותי והן תיאור כמותי אודות סיכונים סביבתיים לצד ההשפעות של אותם סיכונים על רווחי החברה.  </w:t>
            </w:r>
          </w:p>
        </w:tc>
      </w:tr>
    </w:tbl>
    <w:p w14:paraId="75D799F6" w14:textId="77777777" w:rsidR="00E24EEF" w:rsidRPr="008A4B58" w:rsidRDefault="00E24EEF" w:rsidP="00E24EEF">
      <w:pPr>
        <w:pStyle w:val="HeadHatzaotHok"/>
        <w:jc w:val="both"/>
        <w:rPr>
          <w:rFonts w:ascii="David" w:hAnsi="David"/>
          <w:b w:val="0"/>
          <w:bCs w:val="0"/>
          <w:sz w:val="26"/>
          <w:rtl/>
        </w:rPr>
      </w:pPr>
    </w:p>
    <w:p w14:paraId="728B9683" w14:textId="77777777" w:rsidR="00E24EEF" w:rsidRPr="008A4B58" w:rsidRDefault="00E24EEF" w:rsidP="00E24EEF">
      <w:pPr>
        <w:pStyle w:val="HeadHatzaotHok"/>
        <w:jc w:val="both"/>
        <w:rPr>
          <w:rFonts w:ascii="David" w:hAnsi="David"/>
          <w:b w:val="0"/>
          <w:bCs w:val="0"/>
          <w:sz w:val="26"/>
          <w:rtl/>
        </w:rPr>
      </w:pPr>
    </w:p>
    <w:p w14:paraId="701A0C88" w14:textId="77777777" w:rsidR="00E24EEF" w:rsidRPr="008A4B58" w:rsidRDefault="00E24EEF" w:rsidP="00E24EEF">
      <w:pPr>
        <w:pStyle w:val="HeadHatzaotHok"/>
        <w:rPr>
          <w:rFonts w:ascii="David" w:hAnsi="David"/>
          <w:b w:val="0"/>
          <w:bCs w:val="0"/>
          <w:sz w:val="26"/>
          <w:rtl/>
        </w:rPr>
      </w:pPr>
      <w:r w:rsidRPr="008A4B58">
        <w:rPr>
          <w:rFonts w:ascii="David" w:hAnsi="David" w:hint="cs"/>
          <w:b w:val="0"/>
          <w:bCs w:val="0"/>
          <w:sz w:val="26"/>
          <w:rtl/>
        </w:rPr>
        <w:lastRenderedPageBreak/>
        <w:t>דברי הסבר</w:t>
      </w:r>
    </w:p>
    <w:p w14:paraId="325FC1CE" w14:textId="77777777" w:rsidR="00E24EEF" w:rsidRPr="008A4B58" w:rsidRDefault="00E24EEF" w:rsidP="00E24EEF">
      <w:pPr>
        <w:pStyle w:val="HeadHatzaotHok"/>
        <w:jc w:val="both"/>
        <w:rPr>
          <w:rFonts w:ascii="David" w:hAnsi="David"/>
          <w:b w:val="0"/>
          <w:bCs w:val="0"/>
          <w:sz w:val="26"/>
          <w:rtl/>
        </w:rPr>
      </w:pPr>
      <w:r w:rsidRPr="008A4B58">
        <w:rPr>
          <w:rFonts w:ascii="David" w:hAnsi="David" w:hint="cs"/>
          <w:b w:val="0"/>
          <w:bCs w:val="0"/>
          <w:sz w:val="26"/>
          <w:rtl/>
        </w:rPr>
        <w:t xml:space="preserve">מטרתה של הצעת חוק זו היא להבטיח כי יינתן מידע מספק ומקיף בביאורים לדוחות הכספיים של החברה אודות הסיכונים הסביבתיים שקיימים לחברה. מידע זה משמש את </w:t>
      </w:r>
      <w:proofErr w:type="spellStart"/>
      <w:r w:rsidRPr="008A4B58">
        <w:rPr>
          <w:rFonts w:ascii="David" w:hAnsi="David" w:hint="cs"/>
          <w:b w:val="0"/>
          <w:bCs w:val="0"/>
          <w:sz w:val="26"/>
          <w:rtl/>
        </w:rPr>
        <w:t>משתמשיה</w:t>
      </w:r>
      <w:proofErr w:type="spellEnd"/>
      <w:r w:rsidRPr="008A4B58">
        <w:rPr>
          <w:rFonts w:ascii="David" w:hAnsi="David" w:hint="cs"/>
          <w:b w:val="0"/>
          <w:bCs w:val="0"/>
          <w:sz w:val="26"/>
          <w:rtl/>
        </w:rPr>
        <w:t xml:space="preserve"> השונים של החברה, הן המשקיעים הנוכחיים והן המשקיעים העתידיים, וגורם לאותם משתמשים לקבל תמונה יותר מקיפה על הטבע והאופי של פעילות החברה בה הם משקיעים או עתידים להשקיע, ואת הקשר של אותה הפעילות למשבר האקלים על היבטיו השונים. </w:t>
      </w:r>
    </w:p>
    <w:p w14:paraId="1E9AD42E" w14:textId="77777777" w:rsidR="00E24EEF" w:rsidRPr="008A4B58" w:rsidRDefault="00E24EEF" w:rsidP="00E24EEF">
      <w:pPr>
        <w:pStyle w:val="HeadHatzaotHok"/>
        <w:jc w:val="both"/>
        <w:rPr>
          <w:rFonts w:ascii="David" w:hAnsi="David"/>
          <w:b w:val="0"/>
          <w:bCs w:val="0"/>
          <w:sz w:val="26"/>
          <w:rtl/>
        </w:rPr>
      </w:pPr>
      <w:r w:rsidRPr="008A4B58">
        <w:rPr>
          <w:rFonts w:ascii="David" w:hAnsi="David" w:hint="cs"/>
          <w:b w:val="0"/>
          <w:bCs w:val="0"/>
          <w:sz w:val="26"/>
          <w:rtl/>
        </w:rPr>
        <w:t xml:space="preserve">מטרתו של מידע זה היא להביא לידיעתם של המשתמשים השונים על פעולות שמבצעת החברה הפוגעות בסביבה במישורים השונים ואף מקדמות ומחריפות את משבר האקלים, המהווה סיכון מרכזי כיום. בדרך זו ציבור המשתמשים יוכל לשקול באופן מושכל באילו חברות הוא מעוניין להשקיע תוך בסיכונים סביבתיים הקיימים לחברה במישורים השונים. </w:t>
      </w:r>
    </w:p>
    <w:p w14:paraId="34CAA21B" w14:textId="4767C807" w:rsidR="00E24EEF" w:rsidRPr="008A4B58" w:rsidRDefault="00E24EEF" w:rsidP="00E24EEF">
      <w:pPr>
        <w:pStyle w:val="HeadHatzaotHok"/>
        <w:jc w:val="both"/>
        <w:rPr>
          <w:rFonts w:ascii="David" w:hAnsi="David"/>
          <w:b w:val="0"/>
          <w:bCs w:val="0"/>
          <w:sz w:val="26"/>
          <w:rtl/>
        </w:rPr>
      </w:pPr>
      <w:r w:rsidRPr="008A4B58">
        <w:rPr>
          <w:rFonts w:ascii="David" w:hAnsi="David" w:hint="cs"/>
          <w:b w:val="0"/>
          <w:bCs w:val="0"/>
          <w:sz w:val="26"/>
          <w:rtl/>
        </w:rPr>
        <w:t>כיום, קיימת מגמה עולמית התומכת בגילוי אודות סיכונים סביבתיים בדוחות הכספיים של החברות במטרה ליצור מתאם בין ההשקעות לבין השיקולים הערכיים הסביבתיים של המשקיעים. חברות רבות בעולם התחילו לתת בדוחותיהן הכספיים גילוי אודות סיכונים סביבתיים, בין אם באופן וולונטרי ובין אם מכוח רגולציה, בנו</w:t>
      </w:r>
      <w:r w:rsidR="003753D5">
        <w:rPr>
          <w:rFonts w:ascii="David" w:hAnsi="David" w:hint="cs"/>
          <w:b w:val="0"/>
          <w:bCs w:val="0"/>
          <w:sz w:val="26"/>
          <w:rtl/>
        </w:rPr>
        <w:t>ש</w:t>
      </w:r>
      <w:r w:rsidRPr="008A4B58">
        <w:rPr>
          <w:rFonts w:ascii="David" w:hAnsi="David" w:hint="cs"/>
          <w:b w:val="0"/>
          <w:bCs w:val="0"/>
          <w:sz w:val="26"/>
          <w:rtl/>
        </w:rPr>
        <w:t xml:space="preserve">אים שונים כמו: פליטת גזי חממה, שימוש באנרגיה מזהמת, </w:t>
      </w:r>
      <w:proofErr w:type="spellStart"/>
      <w:r w:rsidRPr="008A4B58">
        <w:rPr>
          <w:rFonts w:ascii="David" w:hAnsi="David" w:hint="cs"/>
          <w:b w:val="0"/>
          <w:bCs w:val="0"/>
          <w:sz w:val="26"/>
          <w:rtl/>
        </w:rPr>
        <w:t>מיחזור</w:t>
      </w:r>
      <w:proofErr w:type="spellEnd"/>
      <w:r w:rsidRPr="008A4B58">
        <w:rPr>
          <w:rFonts w:ascii="David" w:hAnsi="David" w:hint="cs"/>
          <w:b w:val="0"/>
          <w:bCs w:val="0"/>
          <w:sz w:val="26"/>
          <w:rtl/>
        </w:rPr>
        <w:t xml:space="preserve">, ניהול צריכת מים ועוד. הגילוי של החברות נע על קשת רחבה החל מתיאור איכותי לאופן שבו הן מנהלות סיכונים אלה ועד לתיאור כמותי  הכולל נתונים שמטרתם לערוך בחינה השוואתית ביחס לדוחות הכספיים של התקופות הקודמות. אולם, בד״כ חברות נהגו להציג נתונים אלו בפן ״החיובי״ ולא ״השלילי״, קרי מה הן הפעולות ״הטובות״ שהחברות הציבוריות מבצעות ע״מ להקטין את הסיכון של משבר האקלים הקיים כיום בעוד שאין הצגה לכל הפעילויות שחברות מבצעות המחריפות את משבר האקלים. הרציונל מאחורי הצעת חוק זו הינה שחברות יחויבו להצגת כל הסיכונים הסביבתיים הנובעים מפעילותן, ולא רק את ההיבטים שיכולים לעזור לחברה שהיא מעוניינת לגלות לגביהם, אלא גם היבטים שיכולים להרע לה. כשאר מידע זה גלוי לכלל המשתמשים חברות יורתעו ויטו לצמצם את היקפי הפעילויות שמחריפות את סיכוני האקלים הקיימים כיום, וזאת לנוכח העובדה כי משקיעים רבים נוטים כיום לערב שיקולים ערכיים סיבתיים בעת ההשקעה לצד השיקולים הפיננסיים. </w:t>
      </w:r>
    </w:p>
    <w:p w14:paraId="5DC34BEC" w14:textId="4092E3D9" w:rsidR="00E24EEF" w:rsidRPr="008A4B58" w:rsidRDefault="00E24EEF" w:rsidP="008A4B58">
      <w:pPr>
        <w:pStyle w:val="HeadHatzaotHok"/>
        <w:jc w:val="both"/>
        <w:rPr>
          <w:rFonts w:ascii="David" w:hAnsi="David"/>
          <w:b w:val="0"/>
          <w:bCs w:val="0"/>
          <w:sz w:val="26"/>
          <w:rtl/>
        </w:rPr>
      </w:pPr>
      <w:r w:rsidRPr="008A4B58">
        <w:rPr>
          <w:rFonts w:ascii="David" w:hAnsi="David" w:hint="cs"/>
          <w:b w:val="0"/>
          <w:bCs w:val="0"/>
          <w:sz w:val="26"/>
          <w:rtl/>
        </w:rPr>
        <w:t xml:space="preserve">בעת ההצגה של השפעת הסיכון הסביבתי על הרווח של החברות, משקיעים נוכחיים ומשקיעים עתידיים יכולים לחזות עד כמה הפעילות שתורמת למשבר האקלים מהווה נתך משמעותי מרווחי החברה ומעיקר פעילותה. </w:t>
      </w:r>
    </w:p>
    <w:p w14:paraId="2844888F" w14:textId="77777777" w:rsidR="00E24EEF" w:rsidRPr="008A4B58" w:rsidRDefault="00E24EEF" w:rsidP="00E24EEF">
      <w:pPr>
        <w:pStyle w:val="Hesber"/>
        <w:ind w:firstLine="0"/>
        <w:rPr>
          <w:rFonts w:ascii="David" w:hAnsi="David"/>
          <w:sz w:val="26"/>
          <w:rtl/>
        </w:rPr>
      </w:pPr>
      <w:r w:rsidRPr="008A4B58">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8A4B58">
        <w:rPr>
          <w:rFonts w:ascii="David" w:hAnsi="David" w:hint="cs"/>
          <w:sz w:val="26"/>
          <w:rtl/>
        </w:rPr>
        <w:t>ונאדין</w:t>
      </w:r>
      <w:proofErr w:type="spellEnd"/>
      <w:r w:rsidRPr="008A4B58">
        <w:rPr>
          <w:rFonts w:ascii="David" w:hAnsi="David" w:hint="cs"/>
          <w:sz w:val="26"/>
          <w:rtl/>
        </w:rPr>
        <w:t xml:space="preserve"> </w:t>
      </w:r>
      <w:proofErr w:type="spellStart"/>
      <w:r w:rsidRPr="008A4B58">
        <w:rPr>
          <w:rFonts w:ascii="David" w:hAnsi="David" w:hint="cs"/>
          <w:sz w:val="26"/>
          <w:rtl/>
        </w:rPr>
        <w:t>ותד</w:t>
      </w:r>
      <w:proofErr w:type="spellEnd"/>
      <w:r w:rsidRPr="008A4B58">
        <w:rPr>
          <w:rFonts w:ascii="David" w:hAnsi="David" w:hint="cs"/>
          <w:sz w:val="26"/>
          <w:rtl/>
        </w:rPr>
        <w:t xml:space="preserve">.  </w:t>
      </w:r>
    </w:p>
    <w:p w14:paraId="66964AD4" w14:textId="77777777" w:rsidR="0062275F" w:rsidRPr="008A4B58" w:rsidRDefault="0062275F" w:rsidP="00865213">
      <w:pPr>
        <w:pStyle w:val="Hesber"/>
        <w:ind w:firstLine="0"/>
        <w:rPr>
          <w:rFonts w:ascii="David" w:hAnsi="David"/>
          <w:sz w:val="26"/>
          <w:rtl/>
        </w:rPr>
      </w:pPr>
    </w:p>
    <w:p w14:paraId="0E335405" w14:textId="13FC8BC9" w:rsidR="00E24EEF" w:rsidRPr="008A4B58" w:rsidRDefault="00E24EEF" w:rsidP="00E24EEF">
      <w:pPr>
        <w:pStyle w:val="HeadHatzaotHok"/>
        <w:rPr>
          <w:rFonts w:ascii="David" w:hAnsi="David"/>
          <w:sz w:val="26"/>
          <w:rtl/>
        </w:rPr>
      </w:pPr>
      <w:r w:rsidRPr="008A4B58">
        <w:rPr>
          <w:rFonts w:ascii="David" w:hAnsi="David" w:hint="cs"/>
          <w:sz w:val="26"/>
          <w:rtl/>
        </w:rPr>
        <w:lastRenderedPageBreak/>
        <w:t xml:space="preserve">הצעת חוק ניירות ערך (תיקון - חובת גילוי בדוחות הכספיים של חברות ציבוריות אודות תביעות הנוגעות למפגעים סביבתיים),  </w:t>
      </w:r>
      <w:proofErr w:type="spellStart"/>
      <w:r w:rsidRPr="008A4B58">
        <w:rPr>
          <w:rFonts w:ascii="David" w:hAnsi="David" w:hint="cs"/>
          <w:sz w:val="26"/>
          <w:rtl/>
        </w:rPr>
        <w:t>התשפ"א</w:t>
      </w:r>
      <w:proofErr w:type="spellEnd"/>
      <w:r w:rsidRPr="008A4B58">
        <w:rPr>
          <w:rFonts w:ascii="David" w:hAnsi="David" w:hint="cs"/>
          <w:sz w:val="26"/>
          <w:rtl/>
        </w:rPr>
        <w:t xml:space="preserve"> </w:t>
      </w:r>
      <w:r w:rsidRPr="008A4B58">
        <w:rPr>
          <w:rFonts w:ascii="David" w:hAnsi="David" w:hint="cs"/>
          <w:sz w:val="26"/>
        </w:rPr>
        <w:t xml:space="preserve"> –</w:t>
      </w:r>
      <w:r w:rsidRPr="008A4B58">
        <w:rPr>
          <w:rFonts w:ascii="David" w:hAnsi="David" w:hint="cs"/>
          <w:sz w:val="26"/>
          <w:rtl/>
        </w:rPr>
        <w:t>2021</w:t>
      </w:r>
    </w:p>
    <w:tbl>
      <w:tblPr>
        <w:tblStyle w:val="TableGrid"/>
        <w:bidiVisual/>
        <w:tblW w:w="0" w:type="auto"/>
        <w:tblLook w:val="04A0" w:firstRow="1" w:lastRow="0" w:firstColumn="1" w:lastColumn="0" w:noHBand="0" w:noVBand="1"/>
      </w:tblPr>
      <w:tblGrid>
        <w:gridCol w:w="1779"/>
        <w:gridCol w:w="6511"/>
      </w:tblGrid>
      <w:tr w:rsidR="00E24EEF" w:rsidRPr="008A4B58" w14:paraId="10CCB16B" w14:textId="77777777" w:rsidTr="00E619CE">
        <w:tc>
          <w:tcPr>
            <w:tcW w:w="1779" w:type="dxa"/>
            <w:tcBorders>
              <w:top w:val="nil"/>
              <w:left w:val="nil"/>
              <w:bottom w:val="nil"/>
              <w:right w:val="nil"/>
            </w:tcBorders>
          </w:tcPr>
          <w:p w14:paraId="622B006E"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תיקון סעיף 1              </w:t>
            </w:r>
          </w:p>
        </w:tc>
        <w:tc>
          <w:tcPr>
            <w:tcW w:w="6511" w:type="dxa"/>
            <w:tcBorders>
              <w:top w:val="nil"/>
              <w:left w:val="nil"/>
              <w:bottom w:val="nil"/>
              <w:right w:val="nil"/>
            </w:tcBorders>
          </w:tcPr>
          <w:p w14:paraId="26BC7A24" w14:textId="77777777" w:rsidR="00E24EEF" w:rsidRPr="008A4B58" w:rsidRDefault="00E24EEF" w:rsidP="00E619CE">
            <w:pPr>
              <w:pStyle w:val="HeadHatzaotHok"/>
              <w:jc w:val="left"/>
              <w:rPr>
                <w:rFonts w:ascii="David" w:hAnsi="David"/>
                <w:b w:val="0"/>
                <w:bCs w:val="0"/>
                <w:sz w:val="26"/>
                <w:rtl/>
              </w:rPr>
            </w:pPr>
            <w:r w:rsidRPr="008A4B58">
              <w:rPr>
                <w:rFonts w:ascii="David" w:hAnsi="David" w:hint="cs"/>
                <w:b w:val="0"/>
                <w:bCs w:val="0"/>
                <w:sz w:val="26"/>
                <w:rtl/>
              </w:rPr>
              <w:t>1. בחוק ניירות ערך התשכ״ח-1968 (להלן - החוק העיקרי) בסעיף 1, אחרי ההגדרה ״פקודת מעצר וחיפוש״ יבוא:</w:t>
            </w:r>
          </w:p>
          <w:p w14:paraId="27A68C6C"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״תביעה״ – הפרשה להתחייבות לתביעה והתחייבות תלויה בגין                           תביעה, כמשמעותן  לפי כללי חשבונאות מקובלים החלים על דוחותיה הכספיים של החברה.    </w:t>
            </w:r>
          </w:p>
          <w:p w14:paraId="3B65E0CE"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2. בחוק העיקרי בסעיף 1, אחרי ההגדרה ״מערכת דואר אלקטרוני מאובטח״ יבוא:</w:t>
            </w:r>
          </w:p>
          <w:p w14:paraId="4E6E02F2"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״מפגעים סביבתיים״ – כמשמעותן בחוק למניעת מפגעים סביבתיים (תביעות אזרחיות), תשנ"ב-1992. </w:t>
            </w:r>
          </w:p>
          <w:p w14:paraId="6D73DC06"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3. אחרי סעיף 36ד לחוק העיקרי יבוא:</w:t>
            </w:r>
          </w:p>
        </w:tc>
      </w:tr>
      <w:tr w:rsidR="00E24EEF" w:rsidRPr="008A4B58" w14:paraId="0C4BA48E" w14:textId="77777777" w:rsidTr="00E619CE">
        <w:tc>
          <w:tcPr>
            <w:tcW w:w="1779" w:type="dxa"/>
            <w:tcBorders>
              <w:top w:val="nil"/>
              <w:left w:val="nil"/>
              <w:bottom w:val="nil"/>
              <w:right w:val="nil"/>
            </w:tcBorders>
          </w:tcPr>
          <w:p w14:paraId="17BF0441" w14:textId="77777777" w:rsidR="00E24EEF" w:rsidRPr="008A4B58" w:rsidRDefault="00E24EEF" w:rsidP="00E619CE">
            <w:pPr>
              <w:pStyle w:val="HeadHatzaotHok"/>
              <w:jc w:val="left"/>
              <w:rPr>
                <w:rFonts w:ascii="David" w:hAnsi="David"/>
                <w:b w:val="0"/>
                <w:bCs w:val="0"/>
                <w:sz w:val="26"/>
                <w:rtl/>
              </w:rPr>
            </w:pPr>
            <w:r w:rsidRPr="008A4B58">
              <w:rPr>
                <w:rFonts w:ascii="David" w:hAnsi="David" w:hint="cs"/>
                <w:b w:val="0"/>
                <w:bCs w:val="0"/>
                <w:sz w:val="26"/>
                <w:rtl/>
              </w:rPr>
              <w:t>גילוי על תביעות בדבר מפגעים סביבתיים</w:t>
            </w:r>
          </w:p>
        </w:tc>
        <w:tc>
          <w:tcPr>
            <w:tcW w:w="6511" w:type="dxa"/>
            <w:tcBorders>
              <w:top w:val="nil"/>
              <w:left w:val="nil"/>
              <w:bottom w:val="nil"/>
              <w:right w:val="nil"/>
            </w:tcBorders>
          </w:tcPr>
          <w:p w14:paraId="1612F5CD"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36ה. (א) חברה ציבורית שיש כנגדה תביעה הנוגעת למפגעים סביבתיים תגלה זאת בדוחותיה הכספיים השנתיים, הנערכים בהתאם לכללי חשבונאות מקובלים, בלא תלות בסיכויי מימוש התביעה.  </w:t>
            </w:r>
          </w:p>
          <w:p w14:paraId="706C782F" w14:textId="77777777" w:rsidR="00E24EEF" w:rsidRPr="008A4B58" w:rsidRDefault="00E24EEF" w:rsidP="00E619CE">
            <w:pPr>
              <w:pStyle w:val="HeadHatzaotHok"/>
              <w:jc w:val="both"/>
              <w:rPr>
                <w:rFonts w:ascii="David" w:hAnsi="David"/>
                <w:b w:val="0"/>
                <w:bCs w:val="0"/>
                <w:sz w:val="26"/>
                <w:rtl/>
              </w:rPr>
            </w:pPr>
            <w:r w:rsidRPr="008A4B58">
              <w:rPr>
                <w:rFonts w:ascii="David" w:hAnsi="David" w:hint="cs"/>
                <w:b w:val="0"/>
                <w:bCs w:val="0"/>
                <w:sz w:val="26"/>
                <w:rtl/>
              </w:rPr>
              <w:t xml:space="preserve">    (ב) המוסד הישראלי לתקינה בחשבונאות יבצע את השינויים הנדרשים בכללי החשבונאות המקובלים לעניין עריכת הדוחות הכספיים לצורך יישומו של הסעיף לעיל.</w:t>
            </w:r>
          </w:p>
        </w:tc>
      </w:tr>
    </w:tbl>
    <w:p w14:paraId="4CF48A44" w14:textId="77777777" w:rsidR="00E24EEF" w:rsidRPr="008A4B58" w:rsidRDefault="00E24EEF" w:rsidP="00E24EEF">
      <w:pPr>
        <w:pStyle w:val="HeadHatzaotHok"/>
        <w:jc w:val="both"/>
        <w:rPr>
          <w:rFonts w:ascii="David" w:hAnsi="David"/>
          <w:b w:val="0"/>
          <w:bCs w:val="0"/>
          <w:sz w:val="26"/>
          <w:rtl/>
        </w:rPr>
      </w:pPr>
    </w:p>
    <w:p w14:paraId="5C6932C3" w14:textId="77777777" w:rsidR="00E24EEF" w:rsidRPr="008A4B58" w:rsidRDefault="00E24EEF" w:rsidP="00E24EEF">
      <w:pPr>
        <w:pStyle w:val="HeadHatzaotHok"/>
        <w:jc w:val="both"/>
        <w:rPr>
          <w:rFonts w:ascii="David" w:hAnsi="David"/>
          <w:b w:val="0"/>
          <w:bCs w:val="0"/>
          <w:sz w:val="26"/>
          <w:rtl/>
        </w:rPr>
      </w:pPr>
    </w:p>
    <w:p w14:paraId="4ACD376F" w14:textId="77777777" w:rsidR="00E24EEF" w:rsidRPr="008A4B58" w:rsidRDefault="00E24EEF" w:rsidP="00E24EEF">
      <w:pPr>
        <w:pStyle w:val="HeadHatzaotHok"/>
        <w:rPr>
          <w:rFonts w:ascii="David" w:hAnsi="David"/>
          <w:b w:val="0"/>
          <w:bCs w:val="0"/>
          <w:sz w:val="26"/>
          <w:rtl/>
        </w:rPr>
      </w:pPr>
      <w:r w:rsidRPr="008A4B58">
        <w:rPr>
          <w:rFonts w:ascii="David" w:hAnsi="David" w:hint="cs"/>
          <w:b w:val="0"/>
          <w:bCs w:val="0"/>
          <w:sz w:val="26"/>
          <w:rtl/>
        </w:rPr>
        <w:t>דברי הסבר</w:t>
      </w:r>
    </w:p>
    <w:p w14:paraId="3DD479F0" w14:textId="77777777" w:rsidR="00E24EEF" w:rsidRPr="008A4B58" w:rsidRDefault="00E24EEF" w:rsidP="00E24EEF">
      <w:pPr>
        <w:pStyle w:val="HeadHatzaotHok"/>
        <w:jc w:val="both"/>
        <w:rPr>
          <w:rFonts w:ascii="David" w:hAnsi="David"/>
          <w:b w:val="0"/>
          <w:bCs w:val="0"/>
          <w:sz w:val="26"/>
          <w:rtl/>
        </w:rPr>
      </w:pPr>
      <w:r w:rsidRPr="008A4B58">
        <w:rPr>
          <w:rFonts w:ascii="David" w:hAnsi="David" w:hint="cs"/>
          <w:b w:val="0"/>
          <w:bCs w:val="0"/>
          <w:sz w:val="26"/>
          <w:rtl/>
        </w:rPr>
        <w:t xml:space="preserve">מטרתה של הצעת חוק זו היא להבטיח כי יינתן מידע מספק בביאורים לדוחות הכספיים של החברה אודות התביעות הקיימות בנושאים סביבתיים כנגד החברה. מידע זה משמש את </w:t>
      </w:r>
      <w:proofErr w:type="spellStart"/>
      <w:r w:rsidRPr="008A4B58">
        <w:rPr>
          <w:rFonts w:ascii="David" w:hAnsi="David" w:hint="cs"/>
          <w:b w:val="0"/>
          <w:bCs w:val="0"/>
          <w:sz w:val="26"/>
          <w:rtl/>
        </w:rPr>
        <w:t>משתמשיה</w:t>
      </w:r>
      <w:proofErr w:type="spellEnd"/>
      <w:r w:rsidRPr="008A4B58">
        <w:rPr>
          <w:rFonts w:ascii="David" w:hAnsi="David" w:hint="cs"/>
          <w:b w:val="0"/>
          <w:bCs w:val="0"/>
          <w:sz w:val="26"/>
          <w:rtl/>
        </w:rPr>
        <w:t xml:space="preserve"> השונים של החברה, הן המשקיעים הנוכחיים והן המשקיעים העתידיים, וגורם לאותם משתמשים להבין את טבען, אופיין וסכומן של התביעות הקיימות כנגד החברה שבה הם משקיעים או עתידים להשקיע, בין אם הן מיוצגות כהפרשות או כהתחייבות תלויה בדוחות הכספיים.</w:t>
      </w:r>
    </w:p>
    <w:p w14:paraId="1B56B326" w14:textId="77777777" w:rsidR="00E24EEF" w:rsidRPr="008A4B58" w:rsidRDefault="00E24EEF" w:rsidP="00E24EEF">
      <w:pPr>
        <w:pStyle w:val="HeadHatzaotHok"/>
        <w:jc w:val="both"/>
        <w:rPr>
          <w:rFonts w:ascii="David" w:hAnsi="David"/>
          <w:b w:val="0"/>
          <w:bCs w:val="0"/>
          <w:sz w:val="26"/>
          <w:rtl/>
        </w:rPr>
      </w:pPr>
      <w:r w:rsidRPr="008A4B58">
        <w:rPr>
          <w:rFonts w:ascii="David" w:hAnsi="David" w:hint="cs"/>
          <w:b w:val="0"/>
          <w:bCs w:val="0"/>
          <w:sz w:val="26"/>
          <w:rtl/>
        </w:rPr>
        <w:lastRenderedPageBreak/>
        <w:t>מטרתו של מידע זה היא להביא לידיעתם של המשתמשים השונים על פעולות שמבצעת החברה הפוגעות בסביבה במישורים השונים ואף מקדמות ומחריפות את משבר האקלים, המהווה סיכון מרכזי כיום. בדרך זו ציבור המשתמשים יוכל לשקול באופן מושכל באילו חברות הוא מעוניין להשקיע תוך התחשבות בתביעות שהוגשו כנגד החברה הנוגעות לנושאים סביבתיים ומפגעים סביבתיים כהגדרתם ב</w:t>
      </w:r>
      <w:r w:rsidRPr="008A4B58">
        <w:rPr>
          <w:rFonts w:ascii="David" w:hAnsi="David" w:hint="cs"/>
          <w:sz w:val="26"/>
          <w:rtl/>
        </w:rPr>
        <w:t>חוק למניעת מפגעים סביבתיים (תביעות אזרחיות), תשנ"ב-1992</w:t>
      </w:r>
      <w:r w:rsidRPr="008A4B58">
        <w:rPr>
          <w:rFonts w:ascii="David" w:hAnsi="David" w:hint="cs"/>
          <w:b w:val="0"/>
          <w:bCs w:val="0"/>
          <w:sz w:val="26"/>
          <w:rtl/>
        </w:rPr>
        <w:t xml:space="preserve">. </w:t>
      </w:r>
    </w:p>
    <w:p w14:paraId="3211F6ED" w14:textId="629156FD" w:rsidR="00E24EEF" w:rsidRPr="008A4B58" w:rsidRDefault="00E24EEF" w:rsidP="000C3B2D">
      <w:pPr>
        <w:pStyle w:val="HeadHatzaotHok"/>
        <w:jc w:val="both"/>
        <w:rPr>
          <w:rFonts w:ascii="David" w:hAnsi="David"/>
          <w:b w:val="0"/>
          <w:bCs w:val="0"/>
          <w:sz w:val="26"/>
          <w:rtl/>
        </w:rPr>
      </w:pPr>
      <w:r w:rsidRPr="008A4B58">
        <w:rPr>
          <w:rFonts w:ascii="David" w:hAnsi="David" w:hint="cs"/>
          <w:b w:val="0"/>
          <w:bCs w:val="0"/>
          <w:sz w:val="26"/>
          <w:rtl/>
        </w:rPr>
        <w:t xml:space="preserve">הדרישה בחוק לתחולת הגילוי הן על תביעות המיוצגות בדוחות הכספיים של החברה כהפרשה להתחייבות בגין תביעה והן על התחייבויות תלויות בגין תביעה נובעת מכך שע״פ כללי החשבונאות המקובלים, וע״פ הוראותיו של תקן חשבונאות </w:t>
      </w:r>
      <w:r w:rsidRPr="008A4B58">
        <w:rPr>
          <w:rFonts w:ascii="David" w:hAnsi="David" w:hint="cs"/>
          <w:b w:val="0"/>
          <w:bCs w:val="0"/>
          <w:sz w:val="26"/>
        </w:rPr>
        <w:t>IAS 37</w:t>
      </w:r>
      <w:r w:rsidRPr="008A4B58">
        <w:rPr>
          <w:rFonts w:ascii="David" w:hAnsi="David" w:hint="cs"/>
          <w:b w:val="0"/>
          <w:bCs w:val="0"/>
          <w:sz w:val="26"/>
          <w:rtl/>
        </w:rPr>
        <w:t xml:space="preserve"> בפרט, אין להכיר בדוחות הכספיים של החברות על תביעות שמסווגות כהתחייבות תלויה, שהן התחייבויות בגין תביעות כנגד החברה אשר אין הן עומדות בהגדות התקן להפרשה בגין התחייבות לתביעה. הרציונל מאחורי כך הוא שהמשתמשים השונים יהיו מודעים לכלל התביעות המוגשות כנגד החברה בנושאים הסביבתיים השונים. </w:t>
      </w:r>
    </w:p>
    <w:p w14:paraId="763A9EA3" w14:textId="77777777" w:rsidR="00E24EEF" w:rsidRPr="008A4B58" w:rsidRDefault="00E24EEF" w:rsidP="00E24EEF">
      <w:pPr>
        <w:pStyle w:val="Hesber"/>
        <w:ind w:firstLine="0"/>
        <w:rPr>
          <w:rFonts w:ascii="David" w:hAnsi="David"/>
          <w:sz w:val="26"/>
          <w:rtl/>
        </w:rPr>
      </w:pPr>
      <w:r w:rsidRPr="008A4B58">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8A4B58">
        <w:rPr>
          <w:rFonts w:ascii="David" w:hAnsi="David" w:hint="cs"/>
          <w:sz w:val="26"/>
          <w:rtl/>
        </w:rPr>
        <w:t>ונאדין</w:t>
      </w:r>
      <w:proofErr w:type="spellEnd"/>
      <w:r w:rsidRPr="008A4B58">
        <w:rPr>
          <w:rFonts w:ascii="David" w:hAnsi="David" w:hint="cs"/>
          <w:sz w:val="26"/>
          <w:rtl/>
        </w:rPr>
        <w:t xml:space="preserve"> </w:t>
      </w:r>
      <w:proofErr w:type="spellStart"/>
      <w:r w:rsidRPr="008A4B58">
        <w:rPr>
          <w:rFonts w:ascii="David" w:hAnsi="David" w:hint="cs"/>
          <w:sz w:val="26"/>
          <w:rtl/>
        </w:rPr>
        <w:t>ותד</w:t>
      </w:r>
      <w:proofErr w:type="spellEnd"/>
      <w:r w:rsidRPr="008A4B58">
        <w:rPr>
          <w:rFonts w:ascii="David" w:hAnsi="David" w:hint="cs"/>
          <w:sz w:val="26"/>
          <w:rtl/>
        </w:rPr>
        <w:t xml:space="preserve">.  </w:t>
      </w:r>
    </w:p>
    <w:p w14:paraId="2EC18DAB" w14:textId="20888ECB" w:rsidR="0062275F" w:rsidRDefault="0062275F" w:rsidP="0062275F">
      <w:pPr>
        <w:pStyle w:val="Hesber"/>
        <w:rPr>
          <w:rtl/>
        </w:rPr>
      </w:pPr>
    </w:p>
    <w:p w14:paraId="31DAB72C" w14:textId="2EB1DA05" w:rsidR="00402566" w:rsidRDefault="00402566" w:rsidP="0062275F">
      <w:pPr>
        <w:pStyle w:val="Hesber"/>
        <w:rPr>
          <w:rtl/>
        </w:rPr>
      </w:pPr>
    </w:p>
    <w:p w14:paraId="7805ACC8" w14:textId="0CC272FD" w:rsidR="00402566" w:rsidRDefault="00402566" w:rsidP="0062275F">
      <w:pPr>
        <w:pStyle w:val="Hesber"/>
        <w:rPr>
          <w:rtl/>
        </w:rPr>
      </w:pPr>
    </w:p>
    <w:p w14:paraId="1AC210FB" w14:textId="22122216" w:rsidR="00402566" w:rsidRDefault="00402566" w:rsidP="0062275F">
      <w:pPr>
        <w:pStyle w:val="Hesber"/>
        <w:rPr>
          <w:rtl/>
        </w:rPr>
      </w:pPr>
    </w:p>
    <w:p w14:paraId="2CB2629C" w14:textId="527DD27D" w:rsidR="00402566" w:rsidRDefault="00402566" w:rsidP="0062275F">
      <w:pPr>
        <w:pStyle w:val="Hesber"/>
        <w:rPr>
          <w:rtl/>
        </w:rPr>
      </w:pPr>
    </w:p>
    <w:p w14:paraId="4000DAC1" w14:textId="7BD4F3AE" w:rsidR="00402566" w:rsidRDefault="00402566" w:rsidP="0062275F">
      <w:pPr>
        <w:pStyle w:val="Hesber"/>
        <w:rPr>
          <w:rtl/>
        </w:rPr>
      </w:pPr>
    </w:p>
    <w:p w14:paraId="339544AF" w14:textId="0078CBC3" w:rsidR="00402566" w:rsidRDefault="00402566" w:rsidP="0062275F">
      <w:pPr>
        <w:pStyle w:val="Hesber"/>
        <w:rPr>
          <w:rtl/>
        </w:rPr>
      </w:pPr>
    </w:p>
    <w:p w14:paraId="352DB7AE" w14:textId="35EC5EC3" w:rsidR="00402566" w:rsidRDefault="00402566" w:rsidP="0062275F">
      <w:pPr>
        <w:pStyle w:val="Hesber"/>
        <w:rPr>
          <w:rtl/>
        </w:rPr>
      </w:pPr>
    </w:p>
    <w:p w14:paraId="47FC27EF" w14:textId="2F94C9C0" w:rsidR="00402566" w:rsidRDefault="00402566" w:rsidP="0062275F">
      <w:pPr>
        <w:pStyle w:val="Hesber"/>
        <w:rPr>
          <w:rtl/>
        </w:rPr>
      </w:pPr>
    </w:p>
    <w:p w14:paraId="7A0CA0FD" w14:textId="51890CBC" w:rsidR="00402566" w:rsidRDefault="00402566" w:rsidP="0062275F">
      <w:pPr>
        <w:pStyle w:val="Hesber"/>
        <w:rPr>
          <w:rtl/>
        </w:rPr>
      </w:pPr>
    </w:p>
    <w:p w14:paraId="11BA67D5" w14:textId="372E208F" w:rsidR="00402566" w:rsidRDefault="00402566" w:rsidP="0062275F">
      <w:pPr>
        <w:pStyle w:val="Hesber"/>
        <w:rPr>
          <w:rtl/>
        </w:rPr>
      </w:pPr>
    </w:p>
    <w:p w14:paraId="7FA3E10B" w14:textId="4CFD4DB2" w:rsidR="00402566" w:rsidRDefault="00402566" w:rsidP="0062275F">
      <w:pPr>
        <w:pStyle w:val="Hesber"/>
        <w:rPr>
          <w:rtl/>
        </w:rPr>
      </w:pPr>
    </w:p>
    <w:p w14:paraId="2C9A7251" w14:textId="3C20604C" w:rsidR="00402566" w:rsidRDefault="00402566" w:rsidP="0062275F">
      <w:pPr>
        <w:pStyle w:val="Hesber"/>
        <w:rPr>
          <w:rtl/>
        </w:rPr>
      </w:pPr>
    </w:p>
    <w:p w14:paraId="411B1967" w14:textId="47AA5D6F" w:rsidR="00402566" w:rsidRDefault="00402566" w:rsidP="0062275F">
      <w:pPr>
        <w:pStyle w:val="Hesber"/>
        <w:rPr>
          <w:rtl/>
        </w:rPr>
      </w:pPr>
    </w:p>
    <w:p w14:paraId="6DCF3D12" w14:textId="4266BBE6" w:rsidR="00402566" w:rsidRDefault="00402566" w:rsidP="0062275F">
      <w:pPr>
        <w:pStyle w:val="Hesber"/>
        <w:rPr>
          <w:rtl/>
        </w:rPr>
      </w:pPr>
    </w:p>
    <w:p w14:paraId="7A4330CE" w14:textId="7EB44F42" w:rsidR="00402566" w:rsidRDefault="00402566" w:rsidP="0062275F">
      <w:pPr>
        <w:pStyle w:val="Hesber"/>
        <w:rPr>
          <w:rtl/>
        </w:rPr>
      </w:pPr>
    </w:p>
    <w:p w14:paraId="6651A411" w14:textId="650FFB36" w:rsidR="00402566" w:rsidRDefault="00402566" w:rsidP="0062275F">
      <w:pPr>
        <w:pStyle w:val="Hesber"/>
        <w:rPr>
          <w:rtl/>
        </w:rPr>
      </w:pPr>
    </w:p>
    <w:p w14:paraId="31253B0F" w14:textId="7C576C43" w:rsidR="00402566" w:rsidRDefault="00402566" w:rsidP="0062275F">
      <w:pPr>
        <w:pStyle w:val="Hesber"/>
        <w:rPr>
          <w:rtl/>
        </w:rPr>
      </w:pPr>
    </w:p>
    <w:p w14:paraId="40E140EC" w14:textId="1C847DDF" w:rsidR="00402566" w:rsidRDefault="00402566" w:rsidP="0062275F">
      <w:pPr>
        <w:pStyle w:val="Hesber"/>
        <w:rPr>
          <w:rtl/>
        </w:rPr>
      </w:pPr>
    </w:p>
    <w:p w14:paraId="21DD8937" w14:textId="4AE5B51B" w:rsidR="00402566" w:rsidRDefault="00402566" w:rsidP="0062275F">
      <w:pPr>
        <w:pStyle w:val="Hesber"/>
        <w:rPr>
          <w:rtl/>
        </w:rPr>
      </w:pPr>
    </w:p>
    <w:p w14:paraId="07591702" w14:textId="1CBCEDA4" w:rsidR="00402566" w:rsidRDefault="00402566" w:rsidP="0062275F">
      <w:pPr>
        <w:pStyle w:val="Hesber"/>
        <w:rPr>
          <w:rtl/>
        </w:rPr>
      </w:pPr>
    </w:p>
    <w:p w14:paraId="50AB7301" w14:textId="77777777" w:rsidR="00402566" w:rsidRPr="0024644C" w:rsidRDefault="00402566" w:rsidP="00402566">
      <w:pPr>
        <w:spacing w:line="360" w:lineRule="auto"/>
        <w:jc w:val="center"/>
        <w:rPr>
          <w:rFonts w:ascii="David" w:hAnsi="David" w:cs="David"/>
          <w:b/>
          <w:bCs/>
          <w:sz w:val="26"/>
          <w:szCs w:val="26"/>
          <w:rtl/>
        </w:rPr>
      </w:pPr>
      <w:r w:rsidRPr="0024644C">
        <w:rPr>
          <w:rFonts w:ascii="David" w:hAnsi="David" w:cs="David" w:hint="cs"/>
          <w:b/>
          <w:bCs/>
          <w:sz w:val="26"/>
          <w:szCs w:val="26"/>
          <w:rtl/>
        </w:rPr>
        <w:lastRenderedPageBreak/>
        <w:t>חוק איסור השקעת כספי מוצרים פנסיונים וקופות גמל בתאגידים פוסיליים, התשפ״א-2021</w:t>
      </w:r>
    </w:p>
    <w:p w14:paraId="16F57D6E" w14:textId="77777777" w:rsidR="00402566" w:rsidRDefault="00402566" w:rsidP="0062275F">
      <w:pPr>
        <w:pStyle w:val="Hesbe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5237"/>
      </w:tblGrid>
      <w:tr w:rsidR="00402566" w:rsidRPr="0024644C" w14:paraId="3474C17F" w14:textId="77777777" w:rsidTr="00E619CE">
        <w:tc>
          <w:tcPr>
            <w:tcW w:w="3053" w:type="dxa"/>
          </w:tcPr>
          <w:p w14:paraId="3D9A13CC"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מטרת החוק </w:t>
            </w:r>
          </w:p>
        </w:tc>
        <w:tc>
          <w:tcPr>
            <w:tcW w:w="5237" w:type="dxa"/>
          </w:tcPr>
          <w:p w14:paraId="5AF642FD"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1. מטרתו של חוק זה למנוע השקעה של כספים ציבוריים בקרנות הפנסיה וקופות גמל בתאגידים פוסיליים, כחלק מהמאבק לבלימת משבר האקלים. </w:t>
            </w:r>
          </w:p>
        </w:tc>
      </w:tr>
      <w:tr w:rsidR="00402566" w:rsidRPr="0024644C" w14:paraId="68575128" w14:textId="77777777" w:rsidTr="00E619CE">
        <w:tc>
          <w:tcPr>
            <w:tcW w:w="3053" w:type="dxa"/>
          </w:tcPr>
          <w:p w14:paraId="7E2FF9F4" w14:textId="77777777" w:rsidR="00402566" w:rsidRPr="0024644C" w:rsidRDefault="00402566" w:rsidP="00E619CE">
            <w:pPr>
              <w:spacing w:line="360" w:lineRule="auto"/>
              <w:rPr>
                <w:rFonts w:ascii="David" w:hAnsi="David" w:cs="David"/>
                <w:sz w:val="26"/>
                <w:szCs w:val="26"/>
                <w:rtl/>
              </w:rPr>
            </w:pPr>
          </w:p>
        </w:tc>
        <w:tc>
          <w:tcPr>
            <w:tcW w:w="5237" w:type="dxa"/>
          </w:tcPr>
          <w:p w14:paraId="1194F729"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2. בחוק זה:</w:t>
            </w:r>
          </w:p>
          <w:p w14:paraId="1ADA9A91"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״מוצר פנסיוני״ – כהגדרתו בחוק הפיקוח על שירותים פנסיונים (ייעוץ, שיווק, ומערכת סליקה פנסיונים) תשס״ה-2005; </w:t>
            </w:r>
          </w:p>
          <w:p w14:paraId="4F6868C5"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״יועץ פנסיוני״- כהגדרתו בחוק הפיקוח על שירותים פנסיונים (ייעוץ, שיווק, ומערכת סליקה פנסיונים) תשס״ה-2005; </w:t>
            </w:r>
          </w:p>
          <w:p w14:paraId="73881AF7"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"חברה מנהלת" – כהגדרתה בחוק הפיקוח על שירותים פנסיונים (קופות גמל) תשס״ה-2005;</w:t>
            </w:r>
          </w:p>
          <w:p w14:paraId="477F67EC"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״חוק העונשין״ – חוק העונשין, התשל״ז-1977; </w:t>
            </w:r>
          </w:p>
          <w:p w14:paraId="7DC29BAD"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״תאגיד״ – כהגדרתו בחוק הפרשנות תשמ״א-1981;</w:t>
            </w:r>
          </w:p>
          <w:p w14:paraId="2DDB3EF9"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״תאגיד בעל שליטה״ – כהגדרתו בחוק ניירות ערך תשכ"ח-1968;</w:t>
            </w:r>
          </w:p>
          <w:p w14:paraId="4F0BAB80"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 כל אחד מאלה:</w:t>
            </w:r>
          </w:p>
          <w:p w14:paraId="0DBF2D90"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(1) תאגיד העוסק בחיפוש, הפקה, הולכה, אחסון וזיקוק של דלקים פוסיליים (גז, פחם, נפט, פצלי שמן). </w:t>
            </w:r>
          </w:p>
          <w:p w14:paraId="7A439B8A"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(2) תאגיד העוסק בהקמה ותפעול של תחנות כוח המייצרות חשמל על בסיס  דלקים מאובנים. </w:t>
            </w:r>
          </w:p>
          <w:p w14:paraId="0EB3001C"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(3) תאגיד שמטרתו המרכזית היא מימון 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ו/או קבלת תמלוגים מתאגיד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w:t>
            </w:r>
          </w:p>
          <w:p w14:paraId="0417F922"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(4) תאגיד בעל שליטה בתאגיד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w:t>
            </w:r>
          </w:p>
          <w:p w14:paraId="26BD415B"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(5) תאגיד שהוכרז עליו שהוא 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לפי סעיף 4 לחוק.  </w:t>
            </w:r>
          </w:p>
          <w:p w14:paraId="4580F5C8"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״הוועדה״ – וועדת היישום שהוקמה לפי הוראות סעיף 5;</w:t>
            </w:r>
          </w:p>
          <w:p w14:paraId="7F61DC8F"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lastRenderedPageBreak/>
              <w:t>״השר״ – השר להגנת הסביבה;</w:t>
            </w:r>
          </w:p>
        </w:tc>
      </w:tr>
      <w:tr w:rsidR="00402566" w:rsidRPr="0024644C" w14:paraId="3D2F5D7D" w14:textId="77777777" w:rsidTr="00E619CE">
        <w:tc>
          <w:tcPr>
            <w:tcW w:w="3053" w:type="dxa"/>
          </w:tcPr>
          <w:p w14:paraId="78D16B6E"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lastRenderedPageBreak/>
              <w:t xml:space="preserve">איסור השקעת כספי מוצרים פנסיונים בתאגידים פוסיליים ומכירת החזקות </w:t>
            </w:r>
          </w:p>
        </w:tc>
        <w:tc>
          <w:tcPr>
            <w:tcW w:w="5237" w:type="dxa"/>
          </w:tcPr>
          <w:p w14:paraId="15135D7D"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3. (א) בעל רישיון לייעוץ פנסיוני או שיווק פנסיוני לא ישקיע כספי לקוחות בתאגידים פוסיליים לפי הרשימה שפרסמה הוועדה (להלן: הרשימה). </w:t>
            </w:r>
          </w:p>
          <w:p w14:paraId="22F64813"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(ב) השקיע בעל רישיון לייעוץ פנסיוני או שיווק פנסיוני, ולאחר מכן נכלל התאגיד ברשימה, יודיע על כך לוועדה וימכור את החזקתיו בתאגיד בתוך תשעים ימים מיום שפרסמה הוועדה את הכללת התאגיד ברשימה: בסעיף זה, ״השקעה״ - למעט הלוואה כאמור בהגדרת ״השקעה״. </w:t>
            </w:r>
          </w:p>
          <w:p w14:paraId="5D37B533"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(ג) הוועדה רשאית להאריך את המועד למכירת החזקתו כאמור בסעיף קטן (ב) בשישים ימים נוספים מטעמים מיוחדים שיירשמו, וכן רשאית היא, באישור השר, להאריכו לתקופה קצובה נוספת</w:t>
            </w:r>
            <w:r w:rsidRPr="0024644C">
              <w:rPr>
                <w:rFonts w:ascii="David" w:hAnsi="David" w:cs="David" w:hint="cs"/>
                <w:sz w:val="26"/>
                <w:szCs w:val="26"/>
              </w:rPr>
              <w:t>.</w:t>
            </w:r>
          </w:p>
        </w:tc>
      </w:tr>
      <w:tr w:rsidR="00402566" w:rsidRPr="0024644C" w14:paraId="551BB76B" w14:textId="77777777" w:rsidTr="00E619CE">
        <w:tc>
          <w:tcPr>
            <w:tcW w:w="3053" w:type="dxa"/>
          </w:tcPr>
          <w:p w14:paraId="5D2256D4"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איסור השקעת כספי קופות גמל בתאגידים פוסיליים ומכירת החזקות</w:t>
            </w:r>
          </w:p>
        </w:tc>
        <w:tc>
          <w:tcPr>
            <w:tcW w:w="5237" w:type="dxa"/>
          </w:tcPr>
          <w:p w14:paraId="0969FBBB"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4. (א) חברה מנהלת, לא תשקיע את כספי קופת גמל בתאגידים פוסיליים פי הרשימה שפרסמה הוועדה. </w:t>
            </w:r>
          </w:p>
          <w:p w14:paraId="41EAD9F3"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(ב) (ב) השקיעה חברה מנהלת, ולאחר מכן נכלל התאגיד ברשימה, יודיע על כך לוועדה וימכור את החזקתיו בתאגיד בתוך תשעים ימים מיום שפרסמה הוועדה את הכללת התאגיד ברשימה: בסעיף זה, ״השקעה״ - למעט הלוואה כאמור בהגדרת ״השקעה״. </w:t>
            </w:r>
          </w:p>
          <w:p w14:paraId="69B80EC6"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(ג) הוועדה רשאית להאריך את המועד למכירת החזקתו כאמור בסעיף קטן (ב) בשישים ימים נוספים מטעמים מיוחדים שיירשמו, וכן רשאית היא, באישור השר, להאריכו לתקופה קצובה נוספת</w:t>
            </w:r>
            <w:r w:rsidRPr="0024644C">
              <w:rPr>
                <w:rFonts w:ascii="David" w:hAnsi="David" w:cs="David" w:hint="cs"/>
                <w:sz w:val="26"/>
                <w:szCs w:val="26"/>
              </w:rPr>
              <w:t>.</w:t>
            </w:r>
          </w:p>
        </w:tc>
      </w:tr>
      <w:tr w:rsidR="00402566" w:rsidRPr="0024644C" w14:paraId="7B5E0030" w14:textId="77777777" w:rsidTr="00E619CE">
        <w:tc>
          <w:tcPr>
            <w:tcW w:w="3053" w:type="dxa"/>
          </w:tcPr>
          <w:p w14:paraId="23585685"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ועדת יישום</w:t>
            </w:r>
          </w:p>
        </w:tc>
        <w:tc>
          <w:tcPr>
            <w:tcW w:w="5237" w:type="dxa"/>
          </w:tcPr>
          <w:p w14:paraId="0EFBED35"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5. (א) תוקם וועדה ליישום הוראות חוק זה, ואלה חבריה:</w:t>
            </w:r>
          </w:p>
          <w:p w14:paraId="71C7C944" w14:textId="77777777" w:rsidR="00402566" w:rsidRPr="0024644C" w:rsidRDefault="00402566" w:rsidP="00402566">
            <w:pPr>
              <w:pStyle w:val="ListParagraph"/>
              <w:numPr>
                <w:ilvl w:val="0"/>
                <w:numId w:val="3"/>
              </w:numPr>
              <w:spacing w:line="360" w:lineRule="auto"/>
              <w:jc w:val="both"/>
              <w:rPr>
                <w:rFonts w:ascii="David" w:hAnsi="David" w:cs="David"/>
                <w:sz w:val="26"/>
                <w:szCs w:val="26"/>
              </w:rPr>
            </w:pPr>
            <w:r w:rsidRPr="0024644C">
              <w:rPr>
                <w:rFonts w:ascii="David" w:hAnsi="David" w:cs="David" w:hint="cs"/>
                <w:sz w:val="26"/>
                <w:szCs w:val="26"/>
                <w:rtl/>
              </w:rPr>
              <w:t>עובד המשרד להגנת הסביבה שימנה השר, והוא יהיה היושב ראש ולו קול מכריע במקרה של דעות שקולות;</w:t>
            </w:r>
          </w:p>
          <w:p w14:paraId="18812CB1" w14:textId="77777777" w:rsidR="00402566" w:rsidRPr="0024644C" w:rsidRDefault="00402566" w:rsidP="00402566">
            <w:pPr>
              <w:pStyle w:val="ListParagraph"/>
              <w:numPr>
                <w:ilvl w:val="0"/>
                <w:numId w:val="3"/>
              </w:numPr>
              <w:spacing w:line="360" w:lineRule="auto"/>
              <w:jc w:val="both"/>
              <w:rPr>
                <w:rFonts w:ascii="David" w:hAnsi="David" w:cs="David"/>
                <w:sz w:val="26"/>
                <w:szCs w:val="26"/>
              </w:rPr>
            </w:pPr>
            <w:r w:rsidRPr="0024644C">
              <w:rPr>
                <w:rFonts w:ascii="David" w:hAnsi="David" w:cs="David" w:hint="cs"/>
                <w:sz w:val="26"/>
                <w:szCs w:val="26"/>
                <w:rtl/>
              </w:rPr>
              <w:t>שני עובדי משרד ראש הממשלה, שימנה ראש הממשלה;</w:t>
            </w:r>
          </w:p>
          <w:p w14:paraId="2E9C46DD" w14:textId="77777777" w:rsidR="00402566" w:rsidRPr="0024644C" w:rsidRDefault="00402566" w:rsidP="00402566">
            <w:pPr>
              <w:pStyle w:val="ListParagraph"/>
              <w:numPr>
                <w:ilvl w:val="0"/>
                <w:numId w:val="3"/>
              </w:numPr>
              <w:spacing w:line="360" w:lineRule="auto"/>
              <w:jc w:val="both"/>
              <w:rPr>
                <w:rFonts w:ascii="David" w:hAnsi="David" w:cs="David"/>
                <w:sz w:val="26"/>
                <w:szCs w:val="26"/>
              </w:rPr>
            </w:pPr>
            <w:r w:rsidRPr="0024644C">
              <w:rPr>
                <w:rFonts w:ascii="David" w:hAnsi="David" w:cs="David" w:hint="cs"/>
                <w:sz w:val="26"/>
                <w:szCs w:val="26"/>
                <w:rtl/>
              </w:rPr>
              <w:t>עובד משרד האוצר, שימנה שר האוצר;</w:t>
            </w:r>
          </w:p>
          <w:p w14:paraId="3C57477B"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lastRenderedPageBreak/>
              <w:t xml:space="preserve">(ב) הוועדה רשאית לקבוע את סדרי עבודתה, ככל שאלה לא נקבעו לפי חוק זה. </w:t>
            </w:r>
          </w:p>
        </w:tc>
      </w:tr>
      <w:tr w:rsidR="00402566" w:rsidRPr="0024644C" w14:paraId="7DCF0232" w14:textId="77777777" w:rsidTr="00E619CE">
        <w:tc>
          <w:tcPr>
            <w:tcW w:w="3053" w:type="dxa"/>
          </w:tcPr>
          <w:p w14:paraId="603A2EB7"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lastRenderedPageBreak/>
              <w:t>רשימת תאגידים פוסיליים</w:t>
            </w:r>
          </w:p>
        </w:tc>
        <w:tc>
          <w:tcPr>
            <w:tcW w:w="5237" w:type="dxa"/>
          </w:tcPr>
          <w:p w14:paraId="331F174B"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6. (א) הוועדה תנהל רשימה של תאגידים פוסיליים. </w:t>
            </w:r>
          </w:p>
          <w:p w14:paraId="4ACD78E7"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(ב) בטרם תחליט הוועדה על הכללת תאגיד ברשימה, תפרסם הודעה על כוונתה לכלול אותו ברשימה ותודיע על כך לתאגיד בהקדם האפשרי. </w:t>
            </w:r>
          </w:p>
          <w:p w14:paraId="47A41BE5"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(ג) בתום שישים ימים מיום פרסום ההודעה כאמור בסעיף קטן (ב), תפרסם הוועדה רשימה של תאגידים שמצאה כי הם עולים בהגדרה של תאגידי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אלא אם הוגשו טענות כאמור בסעיף 8 וטרם התקבלה החלטה לגביה. </w:t>
            </w:r>
          </w:p>
        </w:tc>
      </w:tr>
      <w:tr w:rsidR="00402566" w:rsidRPr="0024644C" w14:paraId="6F975B92" w14:textId="77777777" w:rsidTr="00E619CE">
        <w:tc>
          <w:tcPr>
            <w:tcW w:w="3053" w:type="dxa"/>
          </w:tcPr>
          <w:p w14:paraId="0994287C"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קביעות גורם חוץ לענייני תאגיד </w:t>
            </w:r>
            <w:proofErr w:type="spellStart"/>
            <w:r w:rsidRPr="0024644C">
              <w:rPr>
                <w:rFonts w:ascii="David" w:hAnsi="David" w:cs="David" w:hint="cs"/>
                <w:sz w:val="26"/>
                <w:szCs w:val="26"/>
                <w:rtl/>
              </w:rPr>
              <w:t>פוסילי</w:t>
            </w:r>
            <w:proofErr w:type="spellEnd"/>
          </w:p>
        </w:tc>
        <w:tc>
          <w:tcPr>
            <w:tcW w:w="5237" w:type="dxa"/>
          </w:tcPr>
          <w:p w14:paraId="13E1DB51"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7. (א) נקבעה מחוץ לישראל בידי גורם מוסמך של מדינה זרה או של איחוד מדינות זרות, בעקבות הליכים שננקטו בהם על פי דיניהם, רשימה הכוללת תאגידים פוסיליים, רשאית היא לאמץ את הרשימה, כולה או חלקה. </w:t>
            </w:r>
          </w:p>
          <w:p w14:paraId="5AA763BA"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(ב) נקבעה מחוץ לישראל בידי ורם מוסמך של מדינה זרה או של איחוד מדינות זרות, בעקבות הליכים שננקטו בהם על פי דיניהם, מגבלה על השקעה בתאגיד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רשאית היא, באישור השר, לכלול תאגיד כאמור ברשימה.  </w:t>
            </w:r>
          </w:p>
          <w:p w14:paraId="62A9C457"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(ג) נכלל תאגיד ברשימה לפי הוראות סעיף זה, יחולו הוראות סעיף 8 לעניין זכות טיעון. </w:t>
            </w:r>
          </w:p>
          <w:p w14:paraId="25DE1B6B"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(ד) בסעיף זה - </w:t>
            </w:r>
          </w:p>
          <w:p w14:paraId="54CE9B3B"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״איחוד מדינות זרות״ – כמשמעותו בחוק העמותות, התש״ם-1980;</w:t>
            </w:r>
          </w:p>
          <w:p w14:paraId="15260B97"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״מדינה זרה״ – לרבות מדינה ממדינות ארצות הברית של אמריקה. </w:t>
            </w:r>
          </w:p>
        </w:tc>
      </w:tr>
      <w:tr w:rsidR="00402566" w:rsidRPr="0024644C" w14:paraId="6F62CC89" w14:textId="77777777" w:rsidTr="00E619CE">
        <w:tc>
          <w:tcPr>
            <w:tcW w:w="3053" w:type="dxa"/>
          </w:tcPr>
          <w:p w14:paraId="1CA0E754"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זכות טיעון</w:t>
            </w:r>
          </w:p>
        </w:tc>
        <w:tc>
          <w:tcPr>
            <w:tcW w:w="5237" w:type="dxa"/>
          </w:tcPr>
          <w:p w14:paraId="63D73B95"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8. (א) הרואה עצמו נפגע מהכוונה לכלול תאגיד ברשימה או מהכללת תאגיד ברשימה, רשאי לטעון את טענותיו בפני הוועדה. </w:t>
            </w:r>
          </w:p>
          <w:p w14:paraId="5315BA90"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(ב) טענות נגד הכוונה לכלול תאגיד ברשימה יוגשו שלושים ימים מיום פרסום שם התאגיד, לפי הוראות </w:t>
            </w:r>
            <w:r w:rsidRPr="0024644C">
              <w:rPr>
                <w:rFonts w:ascii="David" w:hAnsi="David" w:cs="David" w:hint="cs"/>
                <w:sz w:val="26"/>
                <w:szCs w:val="26"/>
                <w:rtl/>
              </w:rPr>
              <w:lastRenderedPageBreak/>
              <w:t xml:space="preserve">סעיף 6(ב); נכלל תאגיד ברשימה לפי הוראות סעיף 6(ג) או 7, ניתן לטעון נגד הכללתו ברשימה בכל עת. </w:t>
            </w:r>
          </w:p>
          <w:p w14:paraId="03A314B0"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(ג) הוועדה רשאית להאריך את המועד האמור סעיף קטן (ב), אם סברה שמתקיימות נסיבות המצדיקות זאת. </w:t>
            </w:r>
          </w:p>
          <w:p w14:paraId="225D4668"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(ד) הוועדה רשאית לדרוש מהטוען כל ידיעה, מסמך או ציוד הדרושים לה לצורך החלטתה.  </w:t>
            </w:r>
          </w:p>
        </w:tc>
      </w:tr>
      <w:tr w:rsidR="00402566" w:rsidRPr="0024644C" w14:paraId="6E5B1937" w14:textId="77777777" w:rsidTr="00E619CE">
        <w:tc>
          <w:tcPr>
            <w:tcW w:w="3053" w:type="dxa"/>
          </w:tcPr>
          <w:p w14:paraId="3C4D8BEC"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lastRenderedPageBreak/>
              <w:t>קנס</w:t>
            </w:r>
          </w:p>
        </w:tc>
        <w:tc>
          <w:tcPr>
            <w:tcW w:w="5237" w:type="dxa"/>
          </w:tcPr>
          <w:p w14:paraId="05FDA2CC"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9. העושה אחת הפעולות המנויות בסעיף 3 ו-4 לחוק   - דינו קנס כאמור בסעיף 61(א)(4) לחוק העונשין.</w:t>
            </w:r>
          </w:p>
        </w:tc>
      </w:tr>
      <w:tr w:rsidR="00402566" w:rsidRPr="0024644C" w14:paraId="26F0482B" w14:textId="77777777" w:rsidTr="00E619CE">
        <w:tc>
          <w:tcPr>
            <w:tcW w:w="3053" w:type="dxa"/>
          </w:tcPr>
          <w:p w14:paraId="37E33A28" w14:textId="77777777" w:rsidR="00402566" w:rsidRPr="0024644C" w:rsidRDefault="00402566" w:rsidP="00E619CE">
            <w:pPr>
              <w:spacing w:line="360" w:lineRule="auto"/>
              <w:rPr>
                <w:rFonts w:ascii="David" w:hAnsi="David" w:cs="David"/>
                <w:b/>
                <w:bCs/>
                <w:sz w:val="26"/>
                <w:szCs w:val="26"/>
                <w:rtl/>
              </w:rPr>
            </w:pPr>
            <w:r w:rsidRPr="0024644C">
              <w:rPr>
                <w:rFonts w:ascii="David" w:hAnsi="David" w:cs="David" w:hint="cs"/>
                <w:sz w:val="26"/>
                <w:szCs w:val="26"/>
                <w:rtl/>
              </w:rPr>
              <w:t>הכרזת השר</w:t>
            </w:r>
          </w:p>
        </w:tc>
        <w:tc>
          <w:tcPr>
            <w:tcW w:w="5237" w:type="dxa"/>
          </w:tcPr>
          <w:p w14:paraId="233AEF05"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10. היה לשר יסוד סביר להניח כי תאגיד הינו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רשאי להכריז על אותו תאגיד שהוא 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 xml:space="preserve">.  </w:t>
            </w:r>
          </w:p>
        </w:tc>
      </w:tr>
      <w:tr w:rsidR="00402566" w:rsidRPr="0024644C" w14:paraId="24090FB9" w14:textId="77777777" w:rsidTr="00E619CE">
        <w:tc>
          <w:tcPr>
            <w:tcW w:w="3053" w:type="dxa"/>
          </w:tcPr>
          <w:p w14:paraId="6B0D59AF"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ביצוע ותקנות</w:t>
            </w:r>
          </w:p>
        </w:tc>
        <w:tc>
          <w:tcPr>
            <w:tcW w:w="5237" w:type="dxa"/>
          </w:tcPr>
          <w:p w14:paraId="7A367406"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11. השר ממונה על ביצוע חוק זה, והוא רשאי, לאחר ששמע את עמדת הוועדה, ובאישור ועדת הפנים והגנת הסביבה של הכנסת, להתקין תקנות בעל עניין הנוגע לביצועו, לרבות לעניינים אלה:</w:t>
            </w:r>
          </w:p>
          <w:p w14:paraId="160E0849" w14:textId="77777777" w:rsidR="00402566" w:rsidRPr="0024644C" w:rsidRDefault="00402566" w:rsidP="00402566">
            <w:pPr>
              <w:pStyle w:val="ListParagraph"/>
              <w:numPr>
                <w:ilvl w:val="0"/>
                <w:numId w:val="4"/>
              </w:numPr>
              <w:spacing w:line="360" w:lineRule="auto"/>
              <w:jc w:val="both"/>
              <w:rPr>
                <w:rFonts w:ascii="David" w:hAnsi="David" w:cs="David"/>
                <w:sz w:val="26"/>
                <w:szCs w:val="26"/>
              </w:rPr>
            </w:pPr>
            <w:r w:rsidRPr="0024644C">
              <w:rPr>
                <w:rFonts w:ascii="David" w:hAnsi="David" w:cs="David" w:hint="cs"/>
                <w:sz w:val="26"/>
                <w:szCs w:val="26"/>
                <w:rtl/>
              </w:rPr>
              <w:t xml:space="preserve">קביעת סכומים שונים לסוגי פעילויות או לענפי משק שונים שיראו בהם תאגיד </w:t>
            </w:r>
            <w:proofErr w:type="spellStart"/>
            <w:r w:rsidRPr="0024644C">
              <w:rPr>
                <w:rFonts w:ascii="David" w:hAnsi="David" w:cs="David" w:hint="cs"/>
                <w:sz w:val="26"/>
                <w:szCs w:val="26"/>
                <w:rtl/>
              </w:rPr>
              <w:t>פוסילי</w:t>
            </w:r>
            <w:proofErr w:type="spellEnd"/>
            <w:r w:rsidRPr="0024644C">
              <w:rPr>
                <w:rFonts w:ascii="David" w:hAnsi="David" w:cs="David" w:hint="cs"/>
                <w:sz w:val="26"/>
                <w:szCs w:val="26"/>
                <w:rtl/>
              </w:rPr>
              <w:t>;</w:t>
            </w:r>
          </w:p>
          <w:p w14:paraId="3360A6F8" w14:textId="77777777" w:rsidR="00402566" w:rsidRPr="0024644C" w:rsidRDefault="00402566" w:rsidP="00402566">
            <w:pPr>
              <w:pStyle w:val="ListParagraph"/>
              <w:numPr>
                <w:ilvl w:val="0"/>
                <w:numId w:val="4"/>
              </w:numPr>
              <w:spacing w:line="360" w:lineRule="auto"/>
              <w:jc w:val="both"/>
              <w:rPr>
                <w:rFonts w:ascii="David" w:hAnsi="David" w:cs="David"/>
                <w:sz w:val="26"/>
                <w:szCs w:val="26"/>
              </w:rPr>
            </w:pPr>
            <w:r w:rsidRPr="0024644C">
              <w:rPr>
                <w:rFonts w:ascii="David" w:hAnsi="David" w:cs="David" w:hint="cs"/>
                <w:sz w:val="26"/>
                <w:szCs w:val="26"/>
                <w:rtl/>
              </w:rPr>
              <w:t>דרכי הפרסום של תאגיד בכוונת הוועדה לכלול ברשימה בטרם תחליט על הכללתו;</w:t>
            </w:r>
          </w:p>
          <w:p w14:paraId="1DF258C1" w14:textId="77777777" w:rsidR="00402566" w:rsidRPr="0024644C" w:rsidRDefault="00402566" w:rsidP="00402566">
            <w:pPr>
              <w:pStyle w:val="ListParagraph"/>
              <w:numPr>
                <w:ilvl w:val="0"/>
                <w:numId w:val="4"/>
              </w:numPr>
              <w:spacing w:line="360" w:lineRule="auto"/>
              <w:jc w:val="both"/>
              <w:rPr>
                <w:rFonts w:ascii="David" w:hAnsi="David" w:cs="David"/>
                <w:sz w:val="26"/>
                <w:szCs w:val="26"/>
              </w:rPr>
            </w:pPr>
            <w:r w:rsidRPr="0024644C">
              <w:rPr>
                <w:rFonts w:ascii="David" w:hAnsi="David" w:cs="David" w:hint="cs"/>
                <w:sz w:val="26"/>
                <w:szCs w:val="26"/>
                <w:rtl/>
              </w:rPr>
              <w:t>דרכי הודעה של הוועדה לתאגיד על כוונתה לכלול אותו ברשימה, לרבות נסיבות שבהן ניתן לפטור מהודעה כאמור;</w:t>
            </w:r>
          </w:p>
          <w:p w14:paraId="7543A3B9" w14:textId="77777777" w:rsidR="00402566" w:rsidRPr="0024644C" w:rsidRDefault="00402566" w:rsidP="00402566">
            <w:pPr>
              <w:pStyle w:val="ListParagraph"/>
              <w:numPr>
                <w:ilvl w:val="0"/>
                <w:numId w:val="4"/>
              </w:numPr>
              <w:spacing w:line="360" w:lineRule="auto"/>
              <w:jc w:val="both"/>
              <w:rPr>
                <w:rFonts w:ascii="David" w:hAnsi="David" w:cs="David"/>
                <w:sz w:val="26"/>
                <w:szCs w:val="26"/>
              </w:rPr>
            </w:pPr>
            <w:r w:rsidRPr="0024644C">
              <w:rPr>
                <w:rFonts w:ascii="David" w:hAnsi="David" w:cs="David" w:hint="cs"/>
                <w:sz w:val="26"/>
                <w:szCs w:val="26"/>
                <w:rtl/>
              </w:rPr>
              <w:t>דרכי פרסום הרשימה;</w:t>
            </w:r>
          </w:p>
          <w:p w14:paraId="3EECF894" w14:textId="77777777" w:rsidR="00402566" w:rsidRPr="0024644C" w:rsidRDefault="00402566" w:rsidP="00402566">
            <w:pPr>
              <w:pStyle w:val="ListParagraph"/>
              <w:numPr>
                <w:ilvl w:val="0"/>
                <w:numId w:val="4"/>
              </w:numPr>
              <w:spacing w:line="360" w:lineRule="auto"/>
              <w:jc w:val="both"/>
              <w:rPr>
                <w:rFonts w:ascii="David" w:hAnsi="David" w:cs="David"/>
                <w:sz w:val="26"/>
                <w:szCs w:val="26"/>
                <w:rtl/>
              </w:rPr>
            </w:pPr>
            <w:r w:rsidRPr="0024644C">
              <w:rPr>
                <w:rFonts w:ascii="David" w:hAnsi="David" w:cs="David" w:hint="cs"/>
                <w:sz w:val="26"/>
                <w:szCs w:val="26"/>
                <w:rtl/>
              </w:rPr>
              <w:t xml:space="preserve">סדרי עבודת הוועדה. </w:t>
            </w:r>
          </w:p>
        </w:tc>
      </w:tr>
      <w:tr w:rsidR="00402566" w:rsidRPr="0024644C" w14:paraId="409A86A4" w14:textId="77777777" w:rsidTr="00E619CE">
        <w:tc>
          <w:tcPr>
            <w:tcW w:w="3053" w:type="dxa"/>
          </w:tcPr>
          <w:p w14:paraId="0AACEA67"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תחילה</w:t>
            </w:r>
          </w:p>
        </w:tc>
        <w:tc>
          <w:tcPr>
            <w:tcW w:w="5237" w:type="dxa"/>
          </w:tcPr>
          <w:p w14:paraId="26A91BC1" w14:textId="77777777" w:rsidR="00402566" w:rsidRPr="0024644C" w:rsidRDefault="00402566" w:rsidP="00E619CE">
            <w:pPr>
              <w:spacing w:line="360" w:lineRule="auto"/>
              <w:rPr>
                <w:rFonts w:ascii="David" w:hAnsi="David" w:cs="David"/>
                <w:sz w:val="26"/>
                <w:szCs w:val="26"/>
                <w:rtl/>
              </w:rPr>
            </w:pPr>
            <w:r w:rsidRPr="0024644C">
              <w:rPr>
                <w:rFonts w:ascii="David" w:hAnsi="David" w:cs="David" w:hint="cs"/>
                <w:sz w:val="26"/>
                <w:szCs w:val="26"/>
                <w:rtl/>
              </w:rPr>
              <w:t xml:space="preserve">12. החוק יחול שלושה חודשים מיום פרסומו.  </w:t>
            </w:r>
          </w:p>
        </w:tc>
      </w:tr>
    </w:tbl>
    <w:p w14:paraId="127C1764" w14:textId="77777777" w:rsidR="00402566" w:rsidRPr="00402566" w:rsidRDefault="00402566" w:rsidP="0062275F">
      <w:pPr>
        <w:pStyle w:val="Hesber"/>
        <w:rPr>
          <w:rtl/>
        </w:rPr>
      </w:pPr>
    </w:p>
    <w:p w14:paraId="789375E3" w14:textId="77777777" w:rsidR="00CF6837" w:rsidRPr="00CF6837" w:rsidRDefault="00CF6837" w:rsidP="00CF6837">
      <w:pPr>
        <w:pStyle w:val="NormalWeb"/>
        <w:bidi/>
        <w:spacing w:line="360" w:lineRule="auto"/>
        <w:jc w:val="center"/>
        <w:rPr>
          <w:rFonts w:ascii="David" w:hAnsi="David" w:cs="David"/>
          <w:color w:val="000000" w:themeColor="text1"/>
          <w:sz w:val="26"/>
          <w:szCs w:val="26"/>
          <w:rtl/>
        </w:rPr>
      </w:pPr>
      <w:r w:rsidRPr="00CF6837">
        <w:rPr>
          <w:rFonts w:ascii="David" w:hAnsi="David" w:cs="David" w:hint="cs"/>
          <w:color w:val="000000" w:themeColor="text1"/>
          <w:sz w:val="26"/>
          <w:szCs w:val="26"/>
          <w:rtl/>
        </w:rPr>
        <w:t>דברי ההסבר</w:t>
      </w:r>
    </w:p>
    <w:p w14:paraId="4C1E8DD5" w14:textId="77777777" w:rsidR="00CF6837" w:rsidRPr="00CF6837" w:rsidRDefault="00CF6837" w:rsidP="00CF6837">
      <w:pPr>
        <w:pStyle w:val="NormalWeb"/>
        <w:bidi/>
        <w:spacing w:line="360" w:lineRule="auto"/>
        <w:jc w:val="both"/>
        <w:rPr>
          <w:rFonts w:ascii="David" w:hAnsi="David" w:cs="David"/>
          <w:color w:val="000000" w:themeColor="text1"/>
          <w:sz w:val="26"/>
          <w:szCs w:val="26"/>
          <w:rtl/>
        </w:rPr>
      </w:pPr>
      <w:r w:rsidRPr="00CF6837">
        <w:rPr>
          <w:rFonts w:ascii="David" w:hAnsi="David" w:cs="David" w:hint="cs"/>
          <w:color w:val="000000" w:themeColor="text1"/>
          <w:sz w:val="26"/>
          <w:szCs w:val="26"/>
          <w:rtl/>
        </w:rPr>
        <w:t xml:space="preserve">התגברותו של משבר האקלים שפוקד את העולם בשנים האחרונות מעלה על סדר היום את הפן הכלכלי של תופעת משבר האקלים ואת הצורך בפיתוח מנגנונים נגד ההשקעה של כספים ציבוריים של קרנות הפנסיה וקופות הגמל בחברות ותעשיות מזהמות של זיקוקי נפט ודלקים פוסיליים שונים והסדרה אפקטיבית של ההשטה של אותם כספים ציבוריים </w:t>
      </w:r>
      <w:r w:rsidRPr="00CF6837">
        <w:rPr>
          <w:rFonts w:ascii="David" w:hAnsi="David" w:cs="David" w:hint="cs"/>
          <w:color w:val="000000" w:themeColor="text1"/>
          <w:sz w:val="26"/>
          <w:szCs w:val="26"/>
          <w:rtl/>
        </w:rPr>
        <w:lastRenderedPageBreak/>
        <w:t xml:space="preserve">לחברות ירוקות שמתפתחות כיום, שאינן משתמשות ו/או מעורבות בייצור של דלקים מזהמים. </w:t>
      </w:r>
    </w:p>
    <w:p w14:paraId="4B3414B2" w14:textId="77777777" w:rsidR="00CF6837" w:rsidRPr="00CF6837" w:rsidRDefault="00CF6837" w:rsidP="00CF6837">
      <w:pPr>
        <w:pStyle w:val="NormalWeb"/>
        <w:bidi/>
        <w:spacing w:line="360" w:lineRule="auto"/>
        <w:jc w:val="both"/>
        <w:rPr>
          <w:rFonts w:ascii="David" w:hAnsi="David" w:cs="David"/>
          <w:color w:val="000000" w:themeColor="text1"/>
          <w:sz w:val="26"/>
          <w:szCs w:val="26"/>
          <w:rtl/>
        </w:rPr>
      </w:pPr>
      <w:r w:rsidRPr="00CF6837">
        <w:rPr>
          <w:rFonts w:ascii="David" w:hAnsi="David" w:cs="David" w:hint="cs"/>
          <w:color w:val="000000" w:themeColor="text1"/>
          <w:sz w:val="26"/>
          <w:szCs w:val="26"/>
          <w:rtl/>
        </w:rPr>
        <w:t xml:space="preserve">בשנת 2020, הבורסה לניירות ערך בתל אביב יצרה מדד ירוק ביחד עם פורום כסף נקי ״מדד ת״א 125״ המהווה צעד בעקבות המגמה העולמית להסטת השקעות מתאגידים פוסיליים. </w:t>
      </w:r>
    </w:p>
    <w:p w14:paraId="280AD538" w14:textId="77777777" w:rsidR="00CF6837" w:rsidRPr="00CF6837" w:rsidRDefault="00CF6837" w:rsidP="00CF6837">
      <w:pPr>
        <w:pStyle w:val="NormalWeb"/>
        <w:bidi/>
        <w:spacing w:line="360" w:lineRule="auto"/>
        <w:jc w:val="both"/>
        <w:rPr>
          <w:rFonts w:ascii="David" w:hAnsi="David" w:cs="David"/>
          <w:color w:val="000000" w:themeColor="text1"/>
          <w:sz w:val="26"/>
          <w:szCs w:val="26"/>
          <w:rtl/>
        </w:rPr>
      </w:pPr>
      <w:r w:rsidRPr="00CF6837">
        <w:rPr>
          <w:rFonts w:ascii="David" w:hAnsi="David" w:cs="David" w:hint="cs"/>
          <w:color w:val="000000" w:themeColor="text1"/>
          <w:sz w:val="26"/>
          <w:szCs w:val="26"/>
          <w:rtl/>
        </w:rPr>
        <w:t xml:space="preserve">כיוון שדלקים פוסיליים מהווים את אחד המרכבים האחראיים ביותר על התעצמותו של משבר האקלים הגלובלי, מטרתה של הצעת חוק זו להסיט את ההשקעות מדלקים </w:t>
      </w:r>
      <w:proofErr w:type="spellStart"/>
      <w:r w:rsidRPr="00CF6837">
        <w:rPr>
          <w:rFonts w:ascii="David" w:hAnsi="David" w:cs="David" w:hint="cs"/>
          <w:color w:val="000000" w:themeColor="text1"/>
          <w:sz w:val="26"/>
          <w:szCs w:val="26"/>
          <w:rtl/>
        </w:rPr>
        <w:t>פוסיליים</w:t>
      </w:r>
      <w:proofErr w:type="spellEnd"/>
      <w:r w:rsidRPr="00CF6837">
        <w:rPr>
          <w:rFonts w:ascii="David" w:hAnsi="David" w:cs="David" w:hint="cs"/>
          <w:color w:val="000000" w:themeColor="text1"/>
          <w:sz w:val="26"/>
          <w:szCs w:val="26"/>
          <w:rtl/>
        </w:rPr>
        <w:t xml:space="preserve">, ומתאגידים המוגדרים </w:t>
      </w:r>
      <w:proofErr w:type="spellStart"/>
      <w:r w:rsidRPr="00CF6837">
        <w:rPr>
          <w:rFonts w:ascii="David" w:hAnsi="David" w:cs="David" w:hint="cs"/>
          <w:color w:val="000000" w:themeColor="text1"/>
          <w:sz w:val="26"/>
          <w:szCs w:val="26"/>
          <w:rtl/>
        </w:rPr>
        <w:t>כפוסליים</w:t>
      </w:r>
      <w:proofErr w:type="spellEnd"/>
      <w:r w:rsidRPr="00CF6837">
        <w:rPr>
          <w:rFonts w:ascii="David" w:hAnsi="David" w:cs="David" w:hint="cs"/>
          <w:color w:val="000000" w:themeColor="text1"/>
          <w:sz w:val="26"/>
          <w:szCs w:val="26"/>
          <w:rtl/>
        </w:rPr>
        <w:t xml:space="preserve"> וזאת ע״י איסור ההשקעה של כספי הציבור הנמצאים בקרנות הפנסיה וקופות גמל, קרי הגופים המוסדיים האמונים על כספי הציבור, בתאגידים פוסיליים והטלת קנס על אלה המבצעים זאת.  </w:t>
      </w:r>
    </w:p>
    <w:p w14:paraId="42A2960B" w14:textId="77777777" w:rsidR="00CF6837" w:rsidRPr="00CF6837" w:rsidRDefault="00CF6837" w:rsidP="00CF6837">
      <w:pPr>
        <w:pStyle w:val="NormalWeb"/>
        <w:bidi/>
        <w:spacing w:line="360" w:lineRule="auto"/>
        <w:jc w:val="both"/>
        <w:rPr>
          <w:rFonts w:ascii="David" w:hAnsi="David" w:cs="David"/>
          <w:color w:val="000000" w:themeColor="text1"/>
          <w:sz w:val="26"/>
          <w:szCs w:val="26"/>
          <w:rtl/>
        </w:rPr>
      </w:pPr>
      <w:r w:rsidRPr="00CF6837">
        <w:rPr>
          <w:rFonts w:ascii="David" w:hAnsi="David" w:cs="David" w:hint="cs"/>
          <w:color w:val="000000" w:themeColor="text1"/>
          <w:sz w:val="26"/>
          <w:szCs w:val="26"/>
          <w:rtl/>
        </w:rPr>
        <w:t xml:space="preserve">על קרנות הפנסיה וקופות הגמל לקחת אחריות על משבר האקלים, ולתרום לבלימתו ע״י הסטת ההשקעות של הציבור אשר מפריש להשקעה מידי חודש. מהלך זה אף נכון מבחינה כלכלית לקרנות הפנסיה ולקופות הגמל, שכן להשקעות שאינן מזהמות יש תשואות כלכליות גבוהות.  </w:t>
      </w:r>
    </w:p>
    <w:p w14:paraId="7262EF85" w14:textId="6D0C7B2A" w:rsidR="00CF6837" w:rsidRDefault="00CF6837" w:rsidP="00CF6837">
      <w:pPr>
        <w:pStyle w:val="Hesber"/>
        <w:ind w:firstLine="0"/>
        <w:rPr>
          <w:rFonts w:ascii="David" w:hAnsi="David"/>
          <w:sz w:val="26"/>
          <w:rtl/>
        </w:rPr>
      </w:pPr>
      <w:r w:rsidRPr="00CF6837">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CF6837">
        <w:rPr>
          <w:rFonts w:ascii="David" w:hAnsi="David" w:hint="cs"/>
          <w:sz w:val="26"/>
          <w:rtl/>
        </w:rPr>
        <w:t>ונאדין</w:t>
      </w:r>
      <w:proofErr w:type="spellEnd"/>
      <w:r w:rsidRPr="00CF6837">
        <w:rPr>
          <w:rFonts w:ascii="David" w:hAnsi="David" w:hint="cs"/>
          <w:sz w:val="26"/>
          <w:rtl/>
        </w:rPr>
        <w:t xml:space="preserve"> </w:t>
      </w:r>
      <w:proofErr w:type="spellStart"/>
      <w:r w:rsidRPr="00CF6837">
        <w:rPr>
          <w:rFonts w:ascii="David" w:hAnsi="David" w:hint="cs"/>
          <w:sz w:val="26"/>
          <w:rtl/>
        </w:rPr>
        <w:t>ותד</w:t>
      </w:r>
      <w:proofErr w:type="spellEnd"/>
      <w:r w:rsidRPr="00CF6837">
        <w:rPr>
          <w:rFonts w:ascii="David" w:hAnsi="David" w:hint="cs"/>
          <w:sz w:val="26"/>
          <w:rtl/>
        </w:rPr>
        <w:t xml:space="preserve">.  </w:t>
      </w:r>
    </w:p>
    <w:p w14:paraId="12DDF1B2" w14:textId="678E01D1" w:rsidR="00362F1B" w:rsidRDefault="00362F1B" w:rsidP="00CF6837">
      <w:pPr>
        <w:pStyle w:val="Hesber"/>
        <w:ind w:firstLine="0"/>
        <w:rPr>
          <w:rFonts w:ascii="David" w:hAnsi="David"/>
          <w:sz w:val="26"/>
          <w:rtl/>
        </w:rPr>
      </w:pPr>
    </w:p>
    <w:p w14:paraId="4DE8AC0E" w14:textId="721D7BF6" w:rsidR="00362F1B" w:rsidRDefault="00362F1B" w:rsidP="00CF6837">
      <w:pPr>
        <w:pStyle w:val="Hesber"/>
        <w:ind w:firstLine="0"/>
        <w:rPr>
          <w:rFonts w:ascii="David" w:hAnsi="David"/>
          <w:sz w:val="26"/>
          <w:rtl/>
        </w:rPr>
      </w:pPr>
    </w:p>
    <w:p w14:paraId="70297544" w14:textId="018496EF" w:rsidR="00362F1B" w:rsidRDefault="00362F1B" w:rsidP="00CF6837">
      <w:pPr>
        <w:pStyle w:val="Hesber"/>
        <w:ind w:firstLine="0"/>
        <w:rPr>
          <w:rFonts w:ascii="David" w:hAnsi="David"/>
          <w:sz w:val="26"/>
          <w:rtl/>
        </w:rPr>
      </w:pPr>
    </w:p>
    <w:p w14:paraId="569F1196" w14:textId="2F727B44" w:rsidR="00362F1B" w:rsidRDefault="00362F1B" w:rsidP="00CF6837">
      <w:pPr>
        <w:pStyle w:val="Hesber"/>
        <w:ind w:firstLine="0"/>
        <w:rPr>
          <w:rFonts w:ascii="David" w:hAnsi="David"/>
          <w:sz w:val="26"/>
          <w:rtl/>
        </w:rPr>
      </w:pPr>
    </w:p>
    <w:p w14:paraId="55EFA17D" w14:textId="651324AE" w:rsidR="00362F1B" w:rsidRDefault="00362F1B" w:rsidP="00CF6837">
      <w:pPr>
        <w:pStyle w:val="Hesber"/>
        <w:ind w:firstLine="0"/>
        <w:rPr>
          <w:rFonts w:ascii="David" w:hAnsi="David"/>
          <w:sz w:val="26"/>
          <w:rtl/>
        </w:rPr>
      </w:pPr>
    </w:p>
    <w:p w14:paraId="2A73131C" w14:textId="1BB0E23B" w:rsidR="00362F1B" w:rsidRDefault="00362F1B" w:rsidP="00CF6837">
      <w:pPr>
        <w:pStyle w:val="Hesber"/>
        <w:ind w:firstLine="0"/>
        <w:rPr>
          <w:rFonts w:ascii="David" w:hAnsi="David"/>
          <w:sz w:val="26"/>
          <w:rtl/>
        </w:rPr>
      </w:pPr>
    </w:p>
    <w:p w14:paraId="6BE3A8BA" w14:textId="17CCE9B9" w:rsidR="00362F1B" w:rsidRDefault="00362F1B" w:rsidP="00CF6837">
      <w:pPr>
        <w:pStyle w:val="Hesber"/>
        <w:ind w:firstLine="0"/>
        <w:rPr>
          <w:rFonts w:ascii="David" w:hAnsi="David"/>
          <w:sz w:val="26"/>
          <w:rtl/>
        </w:rPr>
      </w:pPr>
    </w:p>
    <w:p w14:paraId="2B2F2551" w14:textId="4AB7565D" w:rsidR="00362F1B" w:rsidRDefault="00362F1B" w:rsidP="00CF6837">
      <w:pPr>
        <w:pStyle w:val="Hesber"/>
        <w:ind w:firstLine="0"/>
        <w:rPr>
          <w:rFonts w:ascii="David" w:hAnsi="David"/>
          <w:sz w:val="26"/>
          <w:rtl/>
        </w:rPr>
      </w:pPr>
    </w:p>
    <w:p w14:paraId="767901A0" w14:textId="1B406125" w:rsidR="00362F1B" w:rsidRDefault="00362F1B" w:rsidP="00CF6837">
      <w:pPr>
        <w:pStyle w:val="Hesber"/>
        <w:ind w:firstLine="0"/>
        <w:rPr>
          <w:rFonts w:ascii="David" w:hAnsi="David"/>
          <w:sz w:val="26"/>
          <w:rtl/>
        </w:rPr>
      </w:pPr>
    </w:p>
    <w:p w14:paraId="0FDB9266" w14:textId="758C113E" w:rsidR="00362F1B" w:rsidRDefault="00362F1B" w:rsidP="00CF6837">
      <w:pPr>
        <w:pStyle w:val="Hesber"/>
        <w:ind w:firstLine="0"/>
        <w:rPr>
          <w:rFonts w:ascii="David" w:hAnsi="David"/>
          <w:sz w:val="26"/>
          <w:rtl/>
        </w:rPr>
      </w:pPr>
    </w:p>
    <w:p w14:paraId="197E6E96" w14:textId="22653C19" w:rsidR="00362F1B" w:rsidRDefault="00362F1B" w:rsidP="00CF6837">
      <w:pPr>
        <w:pStyle w:val="Hesber"/>
        <w:ind w:firstLine="0"/>
        <w:rPr>
          <w:rFonts w:ascii="David" w:hAnsi="David"/>
          <w:sz w:val="26"/>
          <w:rtl/>
        </w:rPr>
      </w:pPr>
    </w:p>
    <w:p w14:paraId="20BF4920" w14:textId="65651362" w:rsidR="00362F1B" w:rsidRDefault="00362F1B" w:rsidP="00CF6837">
      <w:pPr>
        <w:pStyle w:val="Hesber"/>
        <w:ind w:firstLine="0"/>
        <w:rPr>
          <w:rFonts w:ascii="David" w:hAnsi="David"/>
          <w:sz w:val="26"/>
          <w:rtl/>
        </w:rPr>
      </w:pPr>
    </w:p>
    <w:p w14:paraId="71A590BB" w14:textId="77AE58FB" w:rsidR="00362F1B" w:rsidRDefault="00362F1B" w:rsidP="00CF6837">
      <w:pPr>
        <w:pStyle w:val="Hesber"/>
        <w:ind w:firstLine="0"/>
        <w:rPr>
          <w:rFonts w:ascii="David" w:hAnsi="David"/>
          <w:sz w:val="26"/>
          <w:rtl/>
        </w:rPr>
      </w:pPr>
    </w:p>
    <w:p w14:paraId="7698898B" w14:textId="54E19D25" w:rsidR="00362F1B" w:rsidRDefault="00362F1B" w:rsidP="00CF6837">
      <w:pPr>
        <w:pStyle w:val="Hesber"/>
        <w:ind w:firstLine="0"/>
        <w:rPr>
          <w:rFonts w:ascii="David" w:hAnsi="David"/>
          <w:sz w:val="26"/>
          <w:rtl/>
        </w:rPr>
      </w:pPr>
    </w:p>
    <w:p w14:paraId="6E5673D3" w14:textId="05A64843" w:rsidR="00362F1B" w:rsidRDefault="00362F1B" w:rsidP="00CF6837">
      <w:pPr>
        <w:pStyle w:val="Hesber"/>
        <w:ind w:firstLine="0"/>
        <w:rPr>
          <w:rFonts w:ascii="David" w:hAnsi="David"/>
          <w:sz w:val="26"/>
          <w:rtl/>
        </w:rPr>
      </w:pPr>
    </w:p>
    <w:p w14:paraId="572EE750" w14:textId="3D6CD203" w:rsidR="00362F1B" w:rsidRDefault="00362F1B" w:rsidP="00CF6837">
      <w:pPr>
        <w:pStyle w:val="Hesber"/>
        <w:ind w:firstLine="0"/>
        <w:rPr>
          <w:rFonts w:ascii="David" w:hAnsi="David"/>
          <w:sz w:val="26"/>
          <w:rtl/>
        </w:rPr>
      </w:pPr>
    </w:p>
    <w:p w14:paraId="12C190CA" w14:textId="26DC44BD" w:rsidR="00362F1B" w:rsidRDefault="00362F1B" w:rsidP="00CF6837">
      <w:pPr>
        <w:pStyle w:val="Hesber"/>
        <w:ind w:firstLine="0"/>
        <w:rPr>
          <w:rFonts w:ascii="David" w:hAnsi="David"/>
          <w:sz w:val="26"/>
          <w:rtl/>
        </w:rPr>
      </w:pPr>
    </w:p>
    <w:p w14:paraId="3FBB5D2A" w14:textId="11F1FBBD" w:rsidR="00362F1B" w:rsidRDefault="00362F1B" w:rsidP="00CF6837">
      <w:pPr>
        <w:pStyle w:val="Hesber"/>
        <w:ind w:firstLine="0"/>
        <w:rPr>
          <w:rFonts w:ascii="David" w:hAnsi="David"/>
          <w:sz w:val="26"/>
          <w:rtl/>
        </w:rPr>
      </w:pPr>
    </w:p>
    <w:p w14:paraId="1FD006BD" w14:textId="725A7996" w:rsidR="00E56367" w:rsidRPr="00E56367" w:rsidRDefault="00E56367" w:rsidP="00E56367">
      <w:pPr>
        <w:keepNext/>
        <w:keepLines/>
        <w:snapToGrid w:val="0"/>
        <w:spacing w:before="240" w:line="360" w:lineRule="auto"/>
        <w:ind w:firstLine="0"/>
        <w:jc w:val="center"/>
        <w:rPr>
          <w:rFonts w:ascii="David" w:eastAsia="Arial Unicode MS" w:hAnsi="David" w:cs="David"/>
          <w:b/>
          <w:bCs/>
          <w:snapToGrid w:val="0"/>
          <w:spacing w:val="0"/>
          <w:sz w:val="26"/>
          <w:szCs w:val="26"/>
          <w:rtl/>
        </w:rPr>
      </w:pPr>
      <w:r w:rsidRPr="00E56367">
        <w:rPr>
          <w:rFonts w:ascii="David" w:eastAsia="Arial Unicode MS" w:hAnsi="David" w:cs="David" w:hint="cs"/>
          <w:b/>
          <w:bCs/>
          <w:snapToGrid w:val="0"/>
          <w:spacing w:val="0"/>
          <w:sz w:val="26"/>
          <w:szCs w:val="26"/>
          <w:rtl/>
        </w:rPr>
        <w:lastRenderedPageBreak/>
        <w:t>הצעת חוק אשראי הוגן (תיקון</w:t>
      </w:r>
      <w:r w:rsidR="00941F62">
        <w:rPr>
          <w:rFonts w:ascii="David" w:eastAsia="Arial Unicode MS" w:hAnsi="David" w:cs="David" w:hint="cs"/>
          <w:b/>
          <w:bCs/>
          <w:snapToGrid w:val="0"/>
          <w:spacing w:val="0"/>
          <w:sz w:val="26"/>
          <w:szCs w:val="26"/>
          <w:rtl/>
        </w:rPr>
        <w:t xml:space="preserve"> - </w:t>
      </w:r>
      <w:r w:rsidRPr="00E56367">
        <w:rPr>
          <w:rFonts w:ascii="David" w:eastAsia="Arial Unicode MS" w:hAnsi="David" w:cs="David" w:hint="cs"/>
          <w:b/>
          <w:bCs/>
          <w:snapToGrid w:val="0"/>
          <w:spacing w:val="0"/>
          <w:sz w:val="26"/>
          <w:szCs w:val="26"/>
          <w:rtl/>
        </w:rPr>
        <w:t xml:space="preserve">קביעת תנאי מימון ותנאי מתן אשראי תוך התחשבות בדוח אחריות סביבתית), </w:t>
      </w:r>
      <w:proofErr w:type="spellStart"/>
      <w:r w:rsidRPr="00E56367">
        <w:rPr>
          <w:rFonts w:ascii="David" w:eastAsia="Arial Unicode MS" w:hAnsi="David" w:cs="David" w:hint="cs"/>
          <w:b/>
          <w:bCs/>
          <w:snapToGrid w:val="0"/>
          <w:spacing w:val="0"/>
          <w:sz w:val="26"/>
          <w:szCs w:val="26"/>
          <w:rtl/>
        </w:rPr>
        <w:t>התשפ"א</w:t>
      </w:r>
      <w:proofErr w:type="spellEnd"/>
      <w:r w:rsidRPr="00E56367">
        <w:rPr>
          <w:rFonts w:ascii="David" w:eastAsia="Arial Unicode MS" w:hAnsi="David" w:cs="David" w:hint="cs"/>
          <w:b/>
          <w:bCs/>
          <w:snapToGrid w:val="0"/>
          <w:spacing w:val="0"/>
          <w:sz w:val="26"/>
          <w:szCs w:val="26"/>
          <w:rtl/>
        </w:rPr>
        <w:t xml:space="preserve"> </w:t>
      </w:r>
      <w:r w:rsidRPr="00E56367">
        <w:rPr>
          <w:rFonts w:ascii="David" w:eastAsia="Arial Unicode MS" w:hAnsi="David" w:cs="David" w:hint="cs"/>
          <w:b/>
          <w:bCs/>
          <w:snapToGrid w:val="0"/>
          <w:spacing w:val="0"/>
          <w:sz w:val="26"/>
          <w:szCs w:val="26"/>
        </w:rPr>
        <w:t xml:space="preserve"> –</w:t>
      </w:r>
      <w:r w:rsidRPr="00E56367">
        <w:rPr>
          <w:rFonts w:ascii="David" w:eastAsia="Arial Unicode MS" w:hAnsi="David" w:cs="David" w:hint="cs"/>
          <w:b/>
          <w:bCs/>
          <w:snapToGrid w:val="0"/>
          <w:spacing w:val="0"/>
          <w:sz w:val="26"/>
          <w:szCs w:val="26"/>
          <w:rtl/>
        </w:rPr>
        <w:t>2021</w:t>
      </w:r>
    </w:p>
    <w:p w14:paraId="0A9F320B" w14:textId="77777777" w:rsidR="00E56367" w:rsidRPr="00E56367" w:rsidRDefault="00E56367" w:rsidP="00E56367">
      <w:pPr>
        <w:widowControl/>
        <w:autoSpaceDE/>
        <w:autoSpaceDN/>
        <w:adjustRightInd/>
        <w:spacing w:before="0" w:line="360" w:lineRule="auto"/>
        <w:ind w:firstLine="0"/>
        <w:jc w:val="left"/>
        <w:textAlignment w:val="auto"/>
        <w:rPr>
          <w:rFonts w:ascii="David" w:eastAsiaTheme="minorHAnsi" w:hAnsi="David" w:cs="David"/>
          <w:color w:val="auto"/>
          <w:spacing w:val="0"/>
          <w:sz w:val="26"/>
          <w:szCs w:val="26"/>
          <w:rtl/>
          <w:lang w:eastAsia="en-US"/>
        </w:rPr>
      </w:pPr>
    </w:p>
    <w:p w14:paraId="184F7803" w14:textId="77777777" w:rsidR="00E56367" w:rsidRPr="00E56367" w:rsidRDefault="00E56367" w:rsidP="00E56367">
      <w:pPr>
        <w:widowControl/>
        <w:autoSpaceDE/>
        <w:autoSpaceDN/>
        <w:adjustRightInd/>
        <w:spacing w:before="0" w:line="360" w:lineRule="auto"/>
        <w:ind w:firstLine="0"/>
        <w:jc w:val="left"/>
        <w:textAlignment w:val="auto"/>
        <w:rPr>
          <w:rFonts w:ascii="David" w:eastAsiaTheme="minorHAnsi" w:hAnsi="David" w:cs="David"/>
          <w:color w:val="auto"/>
          <w:spacing w:val="0"/>
          <w:sz w:val="26"/>
          <w:szCs w:val="26"/>
          <w:rtl/>
          <w:lang w:eastAsia="en-US"/>
        </w:rPr>
      </w:pPr>
    </w:p>
    <w:tbl>
      <w:tblPr>
        <w:tblStyle w:val="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5808"/>
      </w:tblGrid>
      <w:tr w:rsidR="00E56367" w:rsidRPr="00E56367" w14:paraId="1EA3DDED" w14:textId="77777777" w:rsidTr="00E619CE">
        <w:tc>
          <w:tcPr>
            <w:tcW w:w="2482" w:type="dxa"/>
          </w:tcPr>
          <w:p w14:paraId="3BBBBE6B"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תיקון סעיף 1</w:t>
            </w:r>
          </w:p>
          <w:p w14:paraId="2C84D29C"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7E9065F0"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04A39C08"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13A58B7E"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50E5172C"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7FB6C7E0"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221ED4DD"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13D8D8C3"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01006658"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0762E59C"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780F4884"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7D5DFA28"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1952BF0E"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16782C91"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1B527E29"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46BEA94F"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1B72214E"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04746C81"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tc>
        <w:tc>
          <w:tcPr>
            <w:tcW w:w="5808" w:type="dxa"/>
          </w:tcPr>
          <w:p w14:paraId="01734910"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1. בחוק אשראי הוגן תשנ״ג-1993  (להלן - החוק העיקרי) בסעיף 1, אחרי ההגדרה ״הלוואה״ יבוא:</w:t>
            </w:r>
          </w:p>
          <w:p w14:paraId="3EC6A721"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״היבטים סביבתיים״ – רכיב מתוך הפעילויות, השירותים או המוצרים של החברה אשר יש לו או עלולה להיות לו השפעה חיובית על הסביבה, לרבות סיכונים סביבתיים ועלויות סביבתיות. </w:t>
            </w:r>
          </w:p>
          <w:p w14:paraId="66067F4B"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״השקעות אחראיות</w:t>
            </w:r>
            <w:r w:rsidRPr="00E56367">
              <w:rPr>
                <w:rFonts w:ascii="David" w:eastAsiaTheme="minorHAnsi" w:hAnsi="David" w:cs="David" w:hint="cs"/>
                <w:color w:val="auto"/>
                <w:spacing w:val="0"/>
                <w:sz w:val="26"/>
                <w:szCs w:val="26"/>
                <w:rtl/>
                <w:lang w:eastAsia="en-US" w:bidi="ar-SA"/>
              </w:rPr>
              <w:t>" –</w:t>
            </w:r>
            <w:r w:rsidRPr="00E56367">
              <w:rPr>
                <w:rFonts w:ascii="David" w:eastAsiaTheme="minorHAnsi" w:hAnsi="David" w:cs="David" w:hint="cs"/>
                <w:color w:val="auto"/>
                <w:spacing w:val="0"/>
                <w:sz w:val="26"/>
                <w:szCs w:val="26"/>
                <w:rtl/>
                <w:lang w:eastAsia="en-US"/>
              </w:rPr>
              <w:t xml:space="preserve"> דירוג של השקעות הלוקח בחשבון היבטים של חברה, סביבה, וממשל תאגידי לצד השיקולים הפיננסיים של התשואות הכלכליות. </w:t>
            </w:r>
          </w:p>
          <w:p w14:paraId="224E518A"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2. בחוק העיקרי בסעיף 1, אחרי ההגדרה ״ועדת החוקה חוק ומשפט״ יבוא:</w:t>
            </w:r>
          </w:p>
          <w:p w14:paraId="319AE730"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"חברה" – כהגדרתה ב</w:t>
            </w:r>
            <w:r w:rsidRPr="00E56367">
              <w:rPr>
                <w:rFonts w:ascii="David" w:eastAsiaTheme="minorHAnsi" w:hAnsi="David" w:cs="David" w:hint="cs"/>
                <w:spacing w:val="0"/>
                <w:sz w:val="26"/>
                <w:szCs w:val="26"/>
                <w:rtl/>
                <w:lang w:eastAsia="en-US"/>
              </w:rPr>
              <w:t>חוק החברות, תשנ"ט-1999</w:t>
            </w:r>
            <w:r w:rsidRPr="00E56367">
              <w:rPr>
                <w:rFonts w:ascii="David" w:eastAsiaTheme="minorHAnsi" w:hAnsi="David" w:cs="David" w:hint="cs"/>
                <w:color w:val="auto"/>
                <w:spacing w:val="0"/>
                <w:sz w:val="26"/>
                <w:szCs w:val="26"/>
                <w:rtl/>
                <w:lang w:eastAsia="en-US"/>
              </w:rPr>
              <w:t>.</w:t>
            </w:r>
          </w:p>
        </w:tc>
      </w:tr>
      <w:tr w:rsidR="00E56367" w:rsidRPr="00E56367" w14:paraId="25722825" w14:textId="77777777" w:rsidTr="00E619CE">
        <w:tc>
          <w:tcPr>
            <w:tcW w:w="2482" w:type="dxa"/>
          </w:tcPr>
          <w:p w14:paraId="0F859D80"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חובת הצגת דוח אחריות סביבתית</w:t>
            </w:r>
          </w:p>
        </w:tc>
        <w:tc>
          <w:tcPr>
            <w:tcW w:w="5808" w:type="dxa"/>
          </w:tcPr>
          <w:p w14:paraId="13F7E728"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3. אחרי סעיף 3 לחוק העיקרי יבוא:</w:t>
            </w:r>
          </w:p>
          <w:p w14:paraId="286BB117"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spacing w:val="0"/>
                <w:sz w:val="26"/>
                <w:szCs w:val="26"/>
                <w:rtl/>
                <w:lang w:eastAsia="en-US"/>
              </w:rPr>
            </w:pPr>
            <w:r w:rsidRPr="00E56367">
              <w:rPr>
                <w:rFonts w:ascii="David" w:eastAsiaTheme="minorHAnsi" w:hAnsi="David" w:cs="David" w:hint="cs"/>
                <w:color w:val="auto"/>
                <w:spacing w:val="0"/>
                <w:sz w:val="26"/>
                <w:szCs w:val="26"/>
                <w:rtl/>
                <w:lang w:eastAsia="en-US"/>
              </w:rPr>
              <w:t xml:space="preserve"> 3א. בעת הגשת הבקשה למימון ע"י </w:t>
            </w:r>
            <w:r w:rsidRPr="00E56367">
              <w:rPr>
                <w:rFonts w:ascii="David" w:eastAsiaTheme="minorHAnsi" w:hAnsi="David" w:cs="David" w:hint="cs"/>
                <w:spacing w:val="0"/>
                <w:sz w:val="26"/>
                <w:szCs w:val="26"/>
                <w:rtl/>
                <w:lang w:eastAsia="en-US"/>
              </w:rPr>
              <w:t xml:space="preserve">מלווה מוסדי, חברות מחויבות להגיש למלווה המוסדי דוח אחריות סביבתית לצד שאר המסמכים שהמלווה דורש. </w:t>
            </w:r>
          </w:p>
          <w:p w14:paraId="467584BD"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p>
        </w:tc>
      </w:tr>
      <w:tr w:rsidR="00E56367" w:rsidRPr="00E56367" w14:paraId="47A0B3F6" w14:textId="77777777" w:rsidTr="00E619CE">
        <w:tc>
          <w:tcPr>
            <w:tcW w:w="2482" w:type="dxa"/>
          </w:tcPr>
          <w:p w14:paraId="277AD2FC"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שיעורי הריביות</w:t>
            </w:r>
          </w:p>
        </w:tc>
        <w:tc>
          <w:tcPr>
            <w:tcW w:w="5808" w:type="dxa"/>
          </w:tcPr>
          <w:p w14:paraId="2DFCC239"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4. אחרי סעיף 4א לחוק העיקרי יבוא:</w:t>
            </w:r>
          </w:p>
          <w:p w14:paraId="54B3D2C8"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4ב. שר האוצר, לאחר התייעצות עם וועדת הכספים, יקבע בצו את שיעורי הריבית שיינתנו ע״י המלווים המוסדיים לחברות בהתאם להיבטים הסביבתיים שהוצגו ע״י החברה.</w:t>
            </w:r>
          </w:p>
          <w:p w14:paraId="11AA26D7"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p>
        </w:tc>
      </w:tr>
      <w:tr w:rsidR="00E56367" w:rsidRPr="00E56367" w14:paraId="60B50315" w14:textId="77777777" w:rsidTr="00E619CE">
        <w:tc>
          <w:tcPr>
            <w:tcW w:w="2482" w:type="dxa"/>
          </w:tcPr>
          <w:p w14:paraId="7B24C47F"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דוח אחריות סביבתית</w:t>
            </w:r>
          </w:p>
        </w:tc>
        <w:tc>
          <w:tcPr>
            <w:tcW w:w="5808" w:type="dxa"/>
          </w:tcPr>
          <w:p w14:paraId="4C933E10"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3. אחרי התוספת השלישית לחוק העיקרי יבוא:</w:t>
            </w:r>
          </w:p>
          <w:p w14:paraId="47C0C474"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תוספת רביעית (״סעיף 3א, דוח אחריות תאגידית)</w:t>
            </w:r>
          </w:p>
          <w:p w14:paraId="493D6B69"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(1) בעת הגשת בקשה למימון ע״י מלווה מוסדי, חברות מחויבות לערוך דוח המציג הצגה נאותה של מידע מהותי אודות היבטים סביבתיים הקשורים לחברה. </w:t>
            </w:r>
          </w:p>
          <w:p w14:paraId="544E69BE"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(2) דוח זה יכלול הן פירוט כמותי והן פירוט איכותי. </w:t>
            </w:r>
          </w:p>
          <w:p w14:paraId="5F3B8C9E"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(3) סעיף זה חל על חברות בלבד. </w:t>
            </w:r>
          </w:p>
          <w:p w14:paraId="0A8E6723"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(4) דוח זה ייערך בסמוך למועד עריכת הדוח הכספי התקופתי בגין שנת הדיווח הרלוונטית. </w:t>
            </w:r>
          </w:p>
          <w:p w14:paraId="1417661C"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lastRenderedPageBreak/>
              <w:t>(5) דוח זה יערך על בסיס כללי חשבונאות מקובלים.</w:t>
            </w:r>
          </w:p>
        </w:tc>
      </w:tr>
      <w:tr w:rsidR="00E56367" w:rsidRPr="00E56367" w14:paraId="594A379C" w14:textId="77777777" w:rsidTr="00E619CE">
        <w:tc>
          <w:tcPr>
            <w:tcW w:w="2482" w:type="dxa"/>
          </w:tcPr>
          <w:p w14:paraId="1B441E57"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p>
        </w:tc>
        <w:tc>
          <w:tcPr>
            <w:tcW w:w="5808" w:type="dxa"/>
          </w:tcPr>
          <w:p w14:paraId="1F4C9DB0"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(6). השר להגנת הסביבה, לאחר התייעצות עם וועדת הפנים והגנת הסביבה של הכנסת, יקבע בצו היבטים סביבתיים שחברות מחויבות להציג כחלק מדוח אחריות סביבתית. </w:t>
            </w:r>
          </w:p>
        </w:tc>
      </w:tr>
    </w:tbl>
    <w:p w14:paraId="0F44513D"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4AED4469"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0B665347"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6F958A2E"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5CA466BD"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2A064B0F"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4E7A5597" w14:textId="77777777" w:rsidR="00E56367" w:rsidRPr="00E56367" w:rsidRDefault="00E56367" w:rsidP="00E56367">
      <w:pPr>
        <w:widowControl/>
        <w:autoSpaceDE/>
        <w:autoSpaceDN/>
        <w:adjustRightInd/>
        <w:spacing w:before="0" w:line="240" w:lineRule="auto"/>
        <w:ind w:firstLine="0"/>
        <w:jc w:val="left"/>
        <w:textAlignment w:val="auto"/>
        <w:rPr>
          <w:rFonts w:ascii="David" w:eastAsiaTheme="minorHAnsi" w:hAnsi="David" w:cs="David"/>
          <w:color w:val="auto"/>
          <w:spacing w:val="0"/>
          <w:sz w:val="26"/>
          <w:szCs w:val="26"/>
          <w:rtl/>
          <w:lang w:eastAsia="en-US"/>
        </w:rPr>
      </w:pPr>
    </w:p>
    <w:p w14:paraId="46326536" w14:textId="77777777" w:rsidR="00E56367" w:rsidRPr="00E56367" w:rsidRDefault="00E56367" w:rsidP="00E56367">
      <w:pPr>
        <w:widowControl/>
        <w:autoSpaceDE/>
        <w:autoSpaceDN/>
        <w:adjustRightInd/>
        <w:spacing w:before="0" w:line="360" w:lineRule="auto"/>
        <w:ind w:firstLine="0"/>
        <w:jc w:val="center"/>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דברי הסבר</w:t>
      </w:r>
    </w:p>
    <w:p w14:paraId="16619CEA"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בשנים האחרונות בלט תחום ההשקעות האחראיות </w:t>
      </w:r>
      <w:r w:rsidRPr="00E56367">
        <w:rPr>
          <w:rFonts w:ascii="David" w:eastAsiaTheme="minorHAnsi" w:hAnsi="David" w:cs="David" w:hint="cs"/>
          <w:color w:val="auto"/>
          <w:spacing w:val="0"/>
          <w:sz w:val="26"/>
          <w:szCs w:val="26"/>
          <w:lang w:eastAsia="en-US"/>
        </w:rPr>
        <w:t>ESG</w:t>
      </w:r>
      <w:r w:rsidRPr="00E56367">
        <w:rPr>
          <w:rFonts w:ascii="David" w:eastAsiaTheme="minorHAnsi" w:hAnsi="David" w:cs="David" w:hint="cs"/>
          <w:color w:val="auto"/>
          <w:spacing w:val="0"/>
          <w:sz w:val="26"/>
          <w:szCs w:val="26"/>
          <w:rtl/>
          <w:lang w:eastAsia="en-US"/>
        </w:rPr>
        <w:t xml:space="preserve"> (</w:t>
      </w:r>
      <w:r w:rsidRPr="00E56367">
        <w:rPr>
          <w:rFonts w:ascii="David" w:eastAsiaTheme="minorHAnsi" w:hAnsi="David" w:cs="David" w:hint="cs"/>
          <w:color w:val="auto"/>
          <w:spacing w:val="0"/>
          <w:sz w:val="26"/>
          <w:szCs w:val="26"/>
          <w:lang w:eastAsia="en-US"/>
        </w:rPr>
        <w:t>Environment, Society, Governance</w:t>
      </w:r>
      <w:r w:rsidRPr="00E56367">
        <w:rPr>
          <w:rFonts w:ascii="David" w:eastAsiaTheme="minorHAnsi" w:hAnsi="David" w:cs="David" w:hint="cs"/>
          <w:color w:val="auto"/>
          <w:spacing w:val="0"/>
          <w:sz w:val="26"/>
          <w:szCs w:val="26"/>
          <w:rtl/>
          <w:lang w:eastAsia="en-US"/>
        </w:rPr>
        <w:t xml:space="preserve">) בשוק ההון. השקעות אלו ודירוג זה מסמל את המעבר למתן משקל להיבטים של גורמים סביבתיים, חברתיים, והיבטים של ממשל תאגידי לצד השיקולים הפיננסים הסטנדרטים המתבטאים בעיקר בתשואות הכלכליות.  </w:t>
      </w:r>
    </w:p>
    <w:p w14:paraId="39CD7DBF"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מטרתה של הצעת חוק זו היא מתן תגמול כלכלי עסקי לחברות שעושות מאמצים ע״מ לקדם ערכים ומטרות סביבתיות ופועלות ע״מ למנוע הידרדרות סביבתית, ולתמרץ חברות אחרות במשק לפעול בדרך זו בשנים הבאות. תגמול כלכלי זה מתבטא במתן שיעורי ריביות יותר נמוכות ובמתן תנאי מימון ״יותר טובים״ בעת בקשה למתן אשראי ומימון מגופי המימון השונים, וזאת ע״פ קביעתו של השר להגנת הסביבה. </w:t>
      </w:r>
    </w:p>
    <w:p w14:paraId="1B5DDFD5" w14:textId="0282D62C"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בהצעת חוק זו הדגש המרכזי הינו מתן משקל חשוב להיבטים הסביבתיים בפעילויותיהן של החברות כחלק מהמגמה של השקעות אחראיות. דוח אחריות סביבתית נועד להסדיר את הגילוי של כל ההיבטים הסביבתיים שחברות נדרשות להציג, כחלק מתרומתה להפחתת סיכוני אקלים ולמגיר משבר האקלים בהיבטיו השונים. דוח זה מתבסס על הצעתה של הרשות לניירות ערך על פרסום דוח אחריות תאגידית וסיכוני </w:t>
      </w:r>
      <w:r w:rsidRPr="00E56367">
        <w:rPr>
          <w:rFonts w:ascii="David" w:eastAsiaTheme="minorHAnsi" w:hAnsi="David" w:cs="David" w:hint="cs"/>
          <w:color w:val="auto"/>
          <w:spacing w:val="0"/>
          <w:sz w:val="26"/>
          <w:szCs w:val="26"/>
          <w:lang w:eastAsia="en-US"/>
        </w:rPr>
        <w:t>ESG</w:t>
      </w:r>
      <w:r w:rsidRPr="00E56367">
        <w:rPr>
          <w:rFonts w:ascii="David" w:eastAsiaTheme="minorHAnsi" w:hAnsi="David" w:cs="David" w:hint="cs"/>
          <w:color w:val="auto"/>
          <w:spacing w:val="0"/>
          <w:sz w:val="26"/>
          <w:szCs w:val="26"/>
          <w:rtl/>
          <w:lang w:eastAsia="en-US"/>
        </w:rPr>
        <w:t xml:space="preserve"> כחלק מהמגמה של השקעות אחראיות.</w:t>
      </w:r>
      <w:r w:rsidRPr="00E56367">
        <w:rPr>
          <w:rFonts w:ascii="David" w:eastAsiaTheme="minorHAnsi" w:hAnsi="David" w:cs="David" w:hint="cs"/>
          <w:color w:val="auto"/>
          <w:spacing w:val="0"/>
          <w:sz w:val="26"/>
          <w:szCs w:val="26"/>
          <w:lang w:eastAsia="en-US"/>
        </w:rPr>
        <w:t xml:space="preserve"> </w:t>
      </w:r>
      <w:r w:rsidRPr="00E56367">
        <w:rPr>
          <w:rFonts w:ascii="David" w:eastAsiaTheme="minorHAnsi" w:hAnsi="David" w:cs="David" w:hint="cs"/>
          <w:color w:val="auto"/>
          <w:spacing w:val="0"/>
          <w:sz w:val="26"/>
          <w:szCs w:val="26"/>
          <w:rtl/>
          <w:lang w:eastAsia="en-US"/>
        </w:rPr>
        <w:t xml:space="preserve">אך במקרה שלנו הדגש הוא על ההיבט הסביבתי ולא על היבטים חברתיים ותאגידים אליהן מתייחסות השקעות אחראיות ועל כן מוצע דוח לאחריות סביבתית בלבד. </w:t>
      </w:r>
    </w:p>
    <w:p w14:paraId="7B60A0E1" w14:textId="77777777" w:rsidR="00E56367" w:rsidRP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בשנים האחרונות מדינות רבות בעולם, ובמיוחד מדינות האיחוד האירופאי, החלו דרישת מתן גילוי ממשקיעים מוסדיים על מדיניות ההשקעה שלהם בתחומי ההשקעות האחראיות בכלל ובפרט על ההיבטים הסביבתיים הקיימים לרבות סיכונים סביבתיים ועלויות סביבתיות, וזאת כחלק מהדיווח שלהם על מדיניות ההשקעה. </w:t>
      </w:r>
    </w:p>
    <w:p w14:paraId="4508C1E9" w14:textId="21350AAB" w:rsidR="00E56367" w:rsidRDefault="00E56367"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r w:rsidRPr="00E56367">
        <w:rPr>
          <w:rFonts w:ascii="David" w:eastAsiaTheme="minorHAnsi" w:hAnsi="David" w:cs="David" w:hint="cs"/>
          <w:color w:val="auto"/>
          <w:spacing w:val="0"/>
          <w:sz w:val="26"/>
          <w:szCs w:val="26"/>
          <w:rtl/>
          <w:lang w:eastAsia="en-US"/>
        </w:rPr>
        <w:t xml:space="preserve">חובת הגילוי אודות נושאים סביבתיים בהצעת חוק זו נובעת מכך כי כיום אין חקיקה בדיני ניירות ערך ו/או כללי תקינה חשבונאית, המחייבים את שילובו של דיווח ומידע לא פיננסי כחלק מהדיווח השנתי של החברות בדוחות הכספיים. </w:t>
      </w:r>
    </w:p>
    <w:p w14:paraId="5AE14F50" w14:textId="77777777" w:rsidR="00DB7D22" w:rsidRDefault="00DB7D22" w:rsidP="00DB7D22">
      <w:pPr>
        <w:pStyle w:val="Hesber"/>
        <w:ind w:firstLine="0"/>
        <w:rPr>
          <w:rFonts w:ascii="David" w:hAnsi="David"/>
          <w:sz w:val="26"/>
          <w:rtl/>
        </w:rPr>
      </w:pPr>
      <w:r w:rsidRPr="00CF6837">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CF6837">
        <w:rPr>
          <w:rFonts w:ascii="David" w:hAnsi="David" w:hint="cs"/>
          <w:sz w:val="26"/>
          <w:rtl/>
        </w:rPr>
        <w:t>ונאדין</w:t>
      </w:r>
      <w:proofErr w:type="spellEnd"/>
      <w:r w:rsidRPr="00CF6837">
        <w:rPr>
          <w:rFonts w:ascii="David" w:hAnsi="David" w:hint="cs"/>
          <w:sz w:val="26"/>
          <w:rtl/>
        </w:rPr>
        <w:t xml:space="preserve"> </w:t>
      </w:r>
      <w:proofErr w:type="spellStart"/>
      <w:r w:rsidRPr="00CF6837">
        <w:rPr>
          <w:rFonts w:ascii="David" w:hAnsi="David" w:hint="cs"/>
          <w:sz w:val="26"/>
          <w:rtl/>
        </w:rPr>
        <w:t>ותד</w:t>
      </w:r>
      <w:proofErr w:type="spellEnd"/>
      <w:r w:rsidRPr="00CF6837">
        <w:rPr>
          <w:rFonts w:ascii="David" w:hAnsi="David" w:hint="cs"/>
          <w:sz w:val="26"/>
          <w:rtl/>
        </w:rPr>
        <w:t xml:space="preserve">.  </w:t>
      </w:r>
    </w:p>
    <w:p w14:paraId="0AE6FF6A" w14:textId="77777777" w:rsidR="00DB7D22" w:rsidRPr="00E56367" w:rsidRDefault="00DB7D22" w:rsidP="00E56367">
      <w:pPr>
        <w:widowControl/>
        <w:autoSpaceDE/>
        <w:autoSpaceDN/>
        <w:adjustRightInd/>
        <w:spacing w:before="0" w:line="360" w:lineRule="auto"/>
        <w:ind w:firstLine="0"/>
        <w:textAlignment w:val="auto"/>
        <w:rPr>
          <w:rFonts w:ascii="David" w:eastAsiaTheme="minorHAnsi" w:hAnsi="David" w:cs="David"/>
          <w:color w:val="auto"/>
          <w:spacing w:val="0"/>
          <w:sz w:val="26"/>
          <w:szCs w:val="26"/>
          <w:rtl/>
          <w:lang w:eastAsia="en-US"/>
        </w:rPr>
      </w:pPr>
    </w:p>
    <w:p w14:paraId="548820F8" w14:textId="77777777" w:rsidR="0007248B" w:rsidRPr="00AF329F" w:rsidRDefault="0007248B" w:rsidP="0007248B">
      <w:pPr>
        <w:spacing w:before="0" w:line="360" w:lineRule="auto"/>
        <w:ind w:firstLine="0"/>
        <w:rPr>
          <w:rFonts w:ascii="David" w:hAnsi="David" w:cs="David"/>
          <w:sz w:val="24"/>
          <w:szCs w:val="24"/>
          <w:rtl/>
        </w:rPr>
      </w:pPr>
    </w:p>
    <w:p w14:paraId="05659C4B" w14:textId="77777777" w:rsidR="0007248B" w:rsidRPr="0007248B" w:rsidRDefault="0007248B" w:rsidP="0007248B">
      <w:pPr>
        <w:pStyle w:val="HeadHatzaotHok"/>
        <w:rPr>
          <w:rFonts w:ascii="David" w:hAnsi="David"/>
          <w:sz w:val="26"/>
          <w:rtl/>
        </w:rPr>
      </w:pPr>
      <w:r w:rsidRPr="0007248B">
        <w:rPr>
          <w:rFonts w:ascii="David" w:hAnsi="David" w:hint="cs"/>
          <w:sz w:val="26"/>
          <w:rtl/>
        </w:rPr>
        <w:t>הצעת חוק הפיקוח על שירותים פיננסיים (קופות גמל) (תיקון - שיקולי השקעה הנוגעים להיבטים סביבתיים ולסיכונים מתפתחים), התשפ"א-2021</w:t>
      </w:r>
    </w:p>
    <w:p w14:paraId="2629A6B0" w14:textId="77777777" w:rsidR="0007248B" w:rsidRPr="0007248B" w:rsidRDefault="0007248B" w:rsidP="0007248B">
      <w:pPr>
        <w:pStyle w:val="HeadHatzaotHok"/>
        <w:tabs>
          <w:tab w:val="left" w:pos="4071"/>
          <w:tab w:val="center" w:pos="4819"/>
        </w:tabs>
        <w:spacing w:before="0"/>
        <w:rPr>
          <w:rFonts w:ascii="David" w:hAnsi="David"/>
          <w:sz w:val="26"/>
          <w:rtl/>
        </w:rPr>
      </w:pPr>
    </w:p>
    <w:tbl>
      <w:tblPr>
        <w:bidiVisual/>
        <w:tblW w:w="9645"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5"/>
        <w:gridCol w:w="624"/>
        <w:gridCol w:w="512"/>
        <w:gridCol w:w="112"/>
        <w:gridCol w:w="595"/>
        <w:gridCol w:w="29"/>
        <w:gridCol w:w="4644"/>
        <w:gridCol w:w="9"/>
      </w:tblGrid>
      <w:tr w:rsidR="0007248B" w:rsidRPr="0007248B" w14:paraId="438B94CF" w14:textId="77777777" w:rsidTr="00E619CE">
        <w:trPr>
          <w:gridAfter w:val="1"/>
          <w:wAfter w:w="9" w:type="dxa"/>
          <w:cantSplit/>
        </w:trPr>
        <w:tc>
          <w:tcPr>
            <w:tcW w:w="1871" w:type="dxa"/>
          </w:tcPr>
          <w:p w14:paraId="26EC85AE" w14:textId="77777777" w:rsidR="0007248B" w:rsidRPr="0007248B" w:rsidRDefault="0007248B" w:rsidP="00E619CE">
            <w:pPr>
              <w:pStyle w:val="TableSideHeading"/>
              <w:ind w:right="0"/>
              <w:rPr>
                <w:rFonts w:ascii="David" w:hAnsi="David"/>
                <w:sz w:val="26"/>
              </w:rPr>
            </w:pPr>
            <w:r w:rsidRPr="0007248B">
              <w:rPr>
                <w:rFonts w:ascii="David" w:hAnsi="David" w:hint="cs"/>
                <w:sz w:val="26"/>
                <w:rtl/>
              </w:rPr>
              <w:t>הוספת סעיף 11ב11</w:t>
            </w:r>
          </w:p>
        </w:tc>
        <w:tc>
          <w:tcPr>
            <w:tcW w:w="624" w:type="dxa"/>
          </w:tcPr>
          <w:p w14:paraId="5AD13296" w14:textId="77777777" w:rsidR="0007248B" w:rsidRPr="0007248B" w:rsidRDefault="0007248B" w:rsidP="00E619CE">
            <w:pPr>
              <w:pStyle w:val="TableText"/>
              <w:ind w:right="0"/>
              <w:jc w:val="both"/>
              <w:rPr>
                <w:rFonts w:ascii="David" w:hAnsi="David"/>
                <w:sz w:val="26"/>
              </w:rPr>
            </w:pPr>
            <w:r w:rsidRPr="0007248B">
              <w:rPr>
                <w:rFonts w:ascii="David" w:hAnsi="David" w:hint="cs"/>
                <w:sz w:val="26"/>
                <w:rtl/>
              </w:rPr>
              <w:t>1.</w:t>
            </w:r>
          </w:p>
        </w:tc>
        <w:tc>
          <w:tcPr>
            <w:tcW w:w="7141" w:type="dxa"/>
            <w:gridSpan w:val="7"/>
          </w:tcPr>
          <w:p w14:paraId="268E7E2F" w14:textId="77777777" w:rsidR="0007248B" w:rsidRPr="0007248B" w:rsidRDefault="0007248B" w:rsidP="00E619CE">
            <w:pPr>
              <w:pStyle w:val="TableBlock"/>
              <w:rPr>
                <w:rFonts w:ascii="David" w:hAnsi="David"/>
                <w:sz w:val="26"/>
              </w:rPr>
            </w:pPr>
            <w:r w:rsidRPr="0007248B">
              <w:rPr>
                <w:rFonts w:ascii="David" w:hAnsi="David" w:hint="cs"/>
                <w:sz w:val="26"/>
                <w:rtl/>
              </w:rPr>
              <w:t xml:space="preserve">בחוק הפיקוח על שירותים פיננסיים (קופות גמל), </w:t>
            </w:r>
            <w:proofErr w:type="spellStart"/>
            <w:r w:rsidRPr="0007248B">
              <w:rPr>
                <w:rFonts w:ascii="David" w:hAnsi="David" w:hint="cs"/>
                <w:sz w:val="26"/>
                <w:rtl/>
              </w:rPr>
              <w:t>התשס"ה</w:t>
            </w:r>
            <w:proofErr w:type="spellEnd"/>
            <w:r w:rsidRPr="0007248B">
              <w:rPr>
                <w:rFonts w:ascii="David" w:hAnsi="David" w:hint="cs"/>
                <w:sz w:val="26"/>
                <w:rtl/>
              </w:rPr>
              <w:t xml:space="preserve">–2005, (להלן – החוק העיקרי), אחרי סעיף 11ב10 לחוק העיקרי יבוא: </w:t>
            </w:r>
          </w:p>
        </w:tc>
      </w:tr>
      <w:tr w:rsidR="0007248B" w:rsidRPr="0007248B" w14:paraId="119A2AB0" w14:textId="77777777" w:rsidTr="00E619CE">
        <w:trPr>
          <w:gridAfter w:val="1"/>
          <w:wAfter w:w="9" w:type="dxa"/>
          <w:cantSplit/>
        </w:trPr>
        <w:tc>
          <w:tcPr>
            <w:tcW w:w="1871" w:type="dxa"/>
          </w:tcPr>
          <w:p w14:paraId="5CD8AAD4" w14:textId="77777777" w:rsidR="0007248B" w:rsidRPr="0007248B" w:rsidRDefault="0007248B" w:rsidP="00E619CE">
            <w:pPr>
              <w:pStyle w:val="TableSideHeading"/>
              <w:rPr>
                <w:rFonts w:ascii="David" w:hAnsi="David"/>
                <w:sz w:val="26"/>
              </w:rPr>
            </w:pPr>
          </w:p>
        </w:tc>
        <w:tc>
          <w:tcPr>
            <w:tcW w:w="624" w:type="dxa"/>
          </w:tcPr>
          <w:p w14:paraId="7F1E7ADA" w14:textId="77777777" w:rsidR="0007248B" w:rsidRPr="0007248B" w:rsidRDefault="0007248B" w:rsidP="00E619CE">
            <w:pPr>
              <w:pStyle w:val="TableText"/>
              <w:rPr>
                <w:rFonts w:ascii="David" w:hAnsi="David"/>
                <w:sz w:val="26"/>
              </w:rPr>
            </w:pPr>
          </w:p>
        </w:tc>
        <w:tc>
          <w:tcPr>
            <w:tcW w:w="1761" w:type="dxa"/>
            <w:gridSpan w:val="3"/>
          </w:tcPr>
          <w:p w14:paraId="4F5BF65B" w14:textId="77777777" w:rsidR="0007248B" w:rsidRPr="0007248B" w:rsidRDefault="0007248B" w:rsidP="00E619CE">
            <w:pPr>
              <w:pStyle w:val="TableInnerSideHeading"/>
              <w:ind w:right="0"/>
              <w:rPr>
                <w:rFonts w:ascii="David" w:hAnsi="David"/>
                <w:sz w:val="26"/>
              </w:rPr>
            </w:pPr>
            <w:r w:rsidRPr="0007248B">
              <w:rPr>
                <w:rFonts w:ascii="David" w:hAnsi="David" w:hint="cs"/>
                <w:sz w:val="26"/>
                <w:rtl/>
              </w:rPr>
              <w:t>"שיקולי ועדת ההשקעות  הנוגעים להיבטים סביבתיים ולסיכונים מתפתחים</w:t>
            </w:r>
          </w:p>
        </w:tc>
        <w:tc>
          <w:tcPr>
            <w:tcW w:w="736" w:type="dxa"/>
            <w:gridSpan w:val="3"/>
          </w:tcPr>
          <w:p w14:paraId="1606CFF6" w14:textId="77777777" w:rsidR="0007248B" w:rsidRPr="0007248B" w:rsidRDefault="0007248B" w:rsidP="00E619CE">
            <w:pPr>
              <w:pStyle w:val="TableText"/>
              <w:ind w:right="0"/>
              <w:jc w:val="both"/>
              <w:rPr>
                <w:rFonts w:ascii="David" w:hAnsi="David"/>
                <w:sz w:val="26"/>
              </w:rPr>
            </w:pPr>
            <w:r w:rsidRPr="0007248B">
              <w:rPr>
                <w:rFonts w:ascii="David" w:hAnsi="David" w:hint="cs"/>
                <w:sz w:val="26"/>
                <w:rtl/>
              </w:rPr>
              <w:t>11ב11.</w:t>
            </w:r>
          </w:p>
        </w:tc>
        <w:tc>
          <w:tcPr>
            <w:tcW w:w="4644" w:type="dxa"/>
          </w:tcPr>
          <w:p w14:paraId="1E64CE1C" w14:textId="77777777" w:rsidR="0007248B" w:rsidRPr="0007248B" w:rsidRDefault="0007248B" w:rsidP="0007248B">
            <w:pPr>
              <w:pStyle w:val="TableBlock"/>
              <w:numPr>
                <w:ilvl w:val="0"/>
                <w:numId w:val="5"/>
              </w:numPr>
              <w:rPr>
                <w:rFonts w:ascii="David" w:hAnsi="David"/>
                <w:sz w:val="26"/>
              </w:rPr>
            </w:pPr>
            <w:r w:rsidRPr="0007248B">
              <w:rPr>
                <w:rFonts w:ascii="David" w:hAnsi="David" w:hint="cs"/>
                <w:sz w:val="26"/>
                <w:rtl/>
              </w:rPr>
              <w:t xml:space="preserve">   לקבוע מדיניות לבחינת החלטות השקעה, הכוללת התייחסות לשיקולים הנוגעים להיבטים סביבתיים, ככל שאלו רלוונטיים ועשויים להשפיע על ביצועי תיק ההשקעות.</w:t>
            </w:r>
          </w:p>
          <w:p w14:paraId="1C43D56D" w14:textId="77777777" w:rsidR="0007248B" w:rsidRPr="0007248B" w:rsidRDefault="0007248B" w:rsidP="0007248B">
            <w:pPr>
              <w:pStyle w:val="TableBlock"/>
              <w:numPr>
                <w:ilvl w:val="0"/>
                <w:numId w:val="5"/>
              </w:numPr>
              <w:rPr>
                <w:rFonts w:ascii="David" w:hAnsi="David"/>
                <w:sz w:val="26"/>
              </w:rPr>
            </w:pPr>
            <w:r w:rsidRPr="0007248B">
              <w:rPr>
                <w:rFonts w:ascii="David" w:hAnsi="David" w:hint="cs"/>
                <w:sz w:val="26"/>
                <w:rtl/>
              </w:rPr>
              <w:t xml:space="preserve">     במסגרת ניהול ההשקעות, ועדת ההשקעות תקבע מדיניות לעניין זיהוי סיכונים רלוונטיים נוספים הנובעים מהשפעות סביבתיות ומשינויי אקלים. </w:t>
            </w:r>
          </w:p>
          <w:p w14:paraId="715F747C" w14:textId="77777777" w:rsidR="0007248B" w:rsidRPr="0007248B" w:rsidRDefault="0007248B" w:rsidP="0007248B">
            <w:pPr>
              <w:pStyle w:val="TableBlock"/>
              <w:numPr>
                <w:ilvl w:val="0"/>
                <w:numId w:val="5"/>
              </w:numPr>
              <w:rPr>
                <w:rFonts w:ascii="David" w:hAnsi="David"/>
                <w:sz w:val="26"/>
              </w:rPr>
            </w:pPr>
            <w:r w:rsidRPr="0007248B">
              <w:rPr>
                <w:rFonts w:ascii="David" w:hAnsi="David" w:hint="cs"/>
                <w:sz w:val="26"/>
                <w:rtl/>
              </w:rPr>
              <w:t xml:space="preserve">     ועדת ההשקעות תגבש כללים ונהלים לפיתוח מומחיותו של המשקיע המוסדי בבחינת ההיבטים, השיקולים והסיכונים כאמור, ללא תלות בגורמים חיצוניים.</w:t>
            </w:r>
          </w:p>
          <w:p w14:paraId="7604BA98" w14:textId="77777777" w:rsidR="0007248B" w:rsidRPr="0007248B" w:rsidRDefault="0007248B" w:rsidP="0007248B">
            <w:pPr>
              <w:pStyle w:val="TableBlock"/>
              <w:numPr>
                <w:ilvl w:val="0"/>
                <w:numId w:val="5"/>
              </w:numPr>
              <w:rPr>
                <w:rFonts w:ascii="David" w:hAnsi="David"/>
                <w:sz w:val="26"/>
              </w:rPr>
            </w:pPr>
            <w:r w:rsidRPr="0007248B">
              <w:rPr>
                <w:rFonts w:ascii="David" w:hAnsi="David" w:hint="cs"/>
                <w:sz w:val="26"/>
                <w:rtl/>
              </w:rPr>
              <w:t xml:space="preserve">     על אף האמור בסעיף 11ב11(ג), ועדת ההשקעות רשאית לקבוע כללים להתקשרות עם נותן שירות בעל מומחיות לבחינת השיקולים הסביבתיים, ובלבד שהוועדה הנחתה את המשקיע המוסדי, כדלהלן:</w:t>
            </w:r>
          </w:p>
          <w:p w14:paraId="2E775BAC" w14:textId="77777777" w:rsidR="0007248B" w:rsidRPr="0007248B" w:rsidRDefault="0007248B" w:rsidP="0007248B">
            <w:pPr>
              <w:pStyle w:val="TableBlock"/>
              <w:numPr>
                <w:ilvl w:val="0"/>
                <w:numId w:val="6"/>
              </w:numPr>
              <w:rPr>
                <w:rFonts w:ascii="David" w:hAnsi="David"/>
                <w:sz w:val="26"/>
              </w:rPr>
            </w:pPr>
            <w:r w:rsidRPr="0007248B">
              <w:rPr>
                <w:rFonts w:ascii="David" w:hAnsi="David" w:hint="cs"/>
                <w:sz w:val="26"/>
                <w:rtl/>
              </w:rPr>
              <w:t>לתעד את הסיבות להחלטה להתקשר עם המומחה ואת הסיבות לבחירתו.</w:t>
            </w:r>
          </w:p>
          <w:p w14:paraId="3404921A" w14:textId="77777777" w:rsidR="0007248B" w:rsidRPr="0007248B" w:rsidRDefault="0007248B" w:rsidP="0007248B">
            <w:pPr>
              <w:pStyle w:val="TableBlock"/>
              <w:numPr>
                <w:ilvl w:val="0"/>
                <w:numId w:val="6"/>
              </w:numPr>
              <w:rPr>
                <w:rFonts w:ascii="David" w:hAnsi="David"/>
                <w:sz w:val="26"/>
              </w:rPr>
            </w:pPr>
            <w:r w:rsidRPr="0007248B">
              <w:rPr>
                <w:rFonts w:ascii="David" w:hAnsi="David" w:hint="cs"/>
                <w:sz w:val="26"/>
                <w:rtl/>
              </w:rPr>
              <w:t xml:space="preserve">להקים מנגנון להתמודדות נאותה עם   ניגודי עניינים באופן שהם לא יפגעו בענייני מבוטחי ועמיתי המשקיע המוסדי ולבחינה יזומה ואפקטיבית של ניגודי עניינים פוטנציאליים בין השירותים שמעניק המומחה למשקיע המוסדי ולבין פעילויותיו האחרות של המומחה. </w:t>
            </w:r>
          </w:p>
          <w:p w14:paraId="2E65C743" w14:textId="77777777" w:rsidR="0007248B" w:rsidRPr="0007248B" w:rsidRDefault="0007248B" w:rsidP="00E619CE">
            <w:pPr>
              <w:pStyle w:val="TableBlock"/>
              <w:ind w:left="720"/>
              <w:rPr>
                <w:rFonts w:ascii="David" w:hAnsi="David"/>
                <w:sz w:val="26"/>
              </w:rPr>
            </w:pPr>
          </w:p>
        </w:tc>
      </w:tr>
      <w:tr w:rsidR="0007248B" w:rsidRPr="0007248B" w14:paraId="473DDB1D" w14:textId="77777777" w:rsidTr="00E619CE">
        <w:tblPrEx>
          <w:tblLook w:val="0000" w:firstRow="0" w:lastRow="0" w:firstColumn="0" w:lastColumn="0" w:noHBand="0" w:noVBand="0"/>
        </w:tblPrEx>
        <w:trPr>
          <w:cantSplit/>
        </w:trPr>
        <w:tc>
          <w:tcPr>
            <w:tcW w:w="1871" w:type="dxa"/>
            <w:tcMar>
              <w:top w:w="91" w:type="dxa"/>
              <w:left w:w="0" w:type="dxa"/>
              <w:bottom w:w="91" w:type="dxa"/>
              <w:right w:w="0" w:type="dxa"/>
            </w:tcMar>
          </w:tcPr>
          <w:p w14:paraId="62645124" w14:textId="77777777" w:rsidR="0007248B" w:rsidRPr="0007248B" w:rsidRDefault="0007248B" w:rsidP="00E619CE">
            <w:pPr>
              <w:pStyle w:val="TableSideHeading"/>
              <w:rPr>
                <w:rFonts w:ascii="David" w:hAnsi="David"/>
                <w:sz w:val="26"/>
                <w:rtl/>
              </w:rPr>
            </w:pPr>
            <w:r w:rsidRPr="0007248B">
              <w:rPr>
                <w:rFonts w:ascii="David" w:hAnsi="David" w:hint="cs"/>
                <w:sz w:val="26"/>
                <w:rtl/>
              </w:rPr>
              <w:lastRenderedPageBreak/>
              <w:t>הוספת סעיף 26ג</w:t>
            </w:r>
          </w:p>
        </w:tc>
        <w:tc>
          <w:tcPr>
            <w:tcW w:w="624" w:type="dxa"/>
            <w:tcMar>
              <w:top w:w="91" w:type="dxa"/>
              <w:left w:w="0" w:type="dxa"/>
              <w:bottom w:w="91" w:type="dxa"/>
              <w:right w:w="0" w:type="dxa"/>
            </w:tcMar>
          </w:tcPr>
          <w:p w14:paraId="3D89BC8D" w14:textId="77777777" w:rsidR="0007248B" w:rsidRPr="0007248B" w:rsidRDefault="0007248B" w:rsidP="00E619CE">
            <w:pPr>
              <w:pStyle w:val="TableText"/>
              <w:rPr>
                <w:rFonts w:ascii="David" w:hAnsi="David"/>
                <w:sz w:val="26"/>
                <w:rtl/>
              </w:rPr>
            </w:pPr>
            <w:r w:rsidRPr="0007248B">
              <w:rPr>
                <w:rFonts w:ascii="David" w:hAnsi="David" w:hint="cs"/>
                <w:sz w:val="26"/>
                <w:rtl/>
              </w:rPr>
              <w:t>2.</w:t>
            </w:r>
            <w:r w:rsidRPr="0007248B">
              <w:rPr>
                <w:rFonts w:ascii="David" w:hAnsi="David" w:hint="cs"/>
                <w:sz w:val="26"/>
                <w:rtl/>
              </w:rPr>
              <w:tab/>
            </w:r>
          </w:p>
        </w:tc>
        <w:tc>
          <w:tcPr>
            <w:tcW w:w="7150" w:type="dxa"/>
            <w:gridSpan w:val="8"/>
            <w:tcMar>
              <w:top w:w="91" w:type="dxa"/>
              <w:left w:w="0" w:type="dxa"/>
              <w:bottom w:w="91" w:type="dxa"/>
              <w:right w:w="0" w:type="dxa"/>
            </w:tcMar>
          </w:tcPr>
          <w:p w14:paraId="68134B55" w14:textId="77777777" w:rsidR="0007248B" w:rsidRPr="0007248B" w:rsidRDefault="0007248B" w:rsidP="00E619CE">
            <w:pPr>
              <w:pStyle w:val="TableBlock"/>
              <w:rPr>
                <w:rFonts w:ascii="David" w:hAnsi="David"/>
                <w:sz w:val="26"/>
                <w:rtl/>
              </w:rPr>
            </w:pPr>
            <w:r w:rsidRPr="0007248B">
              <w:rPr>
                <w:rFonts w:ascii="David" w:hAnsi="David" w:hint="cs"/>
                <w:sz w:val="26"/>
                <w:rtl/>
              </w:rPr>
              <w:t>אחרי סעיף 26ב לחוק העיקרי יבוא:</w:t>
            </w:r>
          </w:p>
        </w:tc>
      </w:tr>
      <w:tr w:rsidR="0007248B" w:rsidRPr="0007248B" w14:paraId="34EE71C0" w14:textId="77777777" w:rsidTr="00E619CE">
        <w:tblPrEx>
          <w:tblLook w:val="0000" w:firstRow="0" w:lastRow="0" w:firstColumn="0" w:lastColumn="0" w:noHBand="0" w:noVBand="0"/>
        </w:tblPrEx>
        <w:trPr>
          <w:cantSplit/>
        </w:trPr>
        <w:tc>
          <w:tcPr>
            <w:tcW w:w="1871" w:type="dxa"/>
            <w:tcMar>
              <w:top w:w="91" w:type="dxa"/>
              <w:left w:w="0" w:type="dxa"/>
              <w:bottom w:w="91" w:type="dxa"/>
              <w:right w:w="0" w:type="dxa"/>
            </w:tcMar>
          </w:tcPr>
          <w:p w14:paraId="2B0BBC35" w14:textId="77777777" w:rsidR="0007248B" w:rsidRPr="0007248B" w:rsidRDefault="0007248B" w:rsidP="00E619CE">
            <w:pPr>
              <w:pStyle w:val="TableSideHeading"/>
              <w:rPr>
                <w:rFonts w:ascii="David" w:hAnsi="David"/>
                <w:sz w:val="26"/>
                <w:rtl/>
              </w:rPr>
            </w:pPr>
          </w:p>
        </w:tc>
        <w:tc>
          <w:tcPr>
            <w:tcW w:w="624" w:type="dxa"/>
            <w:tcMar>
              <w:top w:w="91" w:type="dxa"/>
              <w:left w:w="0" w:type="dxa"/>
              <w:bottom w:w="91" w:type="dxa"/>
              <w:right w:w="0" w:type="dxa"/>
            </w:tcMar>
          </w:tcPr>
          <w:p w14:paraId="7C3FFA78" w14:textId="77777777" w:rsidR="0007248B" w:rsidRPr="0007248B" w:rsidRDefault="0007248B" w:rsidP="00E619CE">
            <w:pPr>
              <w:pStyle w:val="TableText"/>
              <w:rPr>
                <w:rFonts w:ascii="David" w:hAnsi="David"/>
                <w:sz w:val="26"/>
                <w:rtl/>
              </w:rPr>
            </w:pPr>
          </w:p>
        </w:tc>
        <w:tc>
          <w:tcPr>
            <w:tcW w:w="1873" w:type="dxa"/>
            <w:gridSpan w:val="4"/>
            <w:tcMar>
              <w:top w:w="91" w:type="dxa"/>
              <w:left w:w="0" w:type="dxa"/>
              <w:bottom w:w="91" w:type="dxa"/>
              <w:right w:w="0" w:type="dxa"/>
            </w:tcMar>
          </w:tcPr>
          <w:p w14:paraId="3D78B6CB" w14:textId="77777777" w:rsidR="0007248B" w:rsidRPr="0007248B" w:rsidRDefault="0007248B" w:rsidP="00E619CE">
            <w:pPr>
              <w:pStyle w:val="TableInnerSideHeading"/>
              <w:rPr>
                <w:rFonts w:ascii="David" w:hAnsi="David"/>
                <w:sz w:val="26"/>
                <w:rtl/>
              </w:rPr>
            </w:pPr>
            <w:r w:rsidRPr="0007248B">
              <w:rPr>
                <w:rFonts w:ascii="David" w:hAnsi="David" w:hint="cs"/>
                <w:sz w:val="26"/>
                <w:rtl/>
              </w:rPr>
              <w:t>"הצהרה מראש של משקיע מוסדי על מדיניות ההשקעה שלו</w:t>
            </w:r>
          </w:p>
        </w:tc>
        <w:tc>
          <w:tcPr>
            <w:tcW w:w="595" w:type="dxa"/>
            <w:tcMar>
              <w:top w:w="91" w:type="dxa"/>
              <w:left w:w="0" w:type="dxa"/>
              <w:bottom w:w="91" w:type="dxa"/>
              <w:right w:w="0" w:type="dxa"/>
            </w:tcMar>
          </w:tcPr>
          <w:p w14:paraId="5B09647C" w14:textId="77777777" w:rsidR="0007248B" w:rsidRPr="0007248B" w:rsidRDefault="0007248B" w:rsidP="00E619CE">
            <w:pPr>
              <w:pStyle w:val="TableText"/>
              <w:rPr>
                <w:rFonts w:ascii="David" w:hAnsi="David"/>
                <w:spacing w:val="-20"/>
                <w:kern w:val="2"/>
                <w:sz w:val="26"/>
                <w:rtl/>
              </w:rPr>
            </w:pPr>
            <w:r w:rsidRPr="0007248B">
              <w:rPr>
                <w:rFonts w:ascii="David" w:hAnsi="David" w:hint="cs"/>
                <w:spacing w:val="-20"/>
                <w:w w:val="91"/>
                <w:kern w:val="2"/>
                <w:sz w:val="26"/>
                <w:rtl/>
              </w:rPr>
              <w:t>26ג.</w:t>
            </w:r>
          </w:p>
        </w:tc>
        <w:tc>
          <w:tcPr>
            <w:tcW w:w="4682" w:type="dxa"/>
            <w:gridSpan w:val="3"/>
            <w:tcMar>
              <w:top w:w="91" w:type="dxa"/>
              <w:left w:w="0" w:type="dxa"/>
              <w:bottom w:w="91" w:type="dxa"/>
              <w:right w:w="0" w:type="dxa"/>
            </w:tcMar>
          </w:tcPr>
          <w:p w14:paraId="1260C19D" w14:textId="77777777" w:rsidR="0007248B" w:rsidRPr="0007248B" w:rsidRDefault="0007248B" w:rsidP="00E619CE">
            <w:pPr>
              <w:pStyle w:val="TableBlock"/>
              <w:rPr>
                <w:rFonts w:ascii="David" w:hAnsi="David"/>
                <w:sz w:val="26"/>
                <w:rtl/>
              </w:rPr>
            </w:pPr>
            <w:r w:rsidRPr="0007248B">
              <w:rPr>
                <w:rFonts w:ascii="David" w:hAnsi="David" w:hint="cs"/>
                <w:sz w:val="26"/>
                <w:rtl/>
              </w:rPr>
              <w:t>משקיע מוסדי יצהיר על מדיניות השקעה, ביחס למסלול השקעה לא מתמחה, כמפורט להלן:</w:t>
            </w:r>
          </w:p>
          <w:p w14:paraId="24F07256" w14:textId="77777777" w:rsidR="0007248B" w:rsidRPr="0007248B" w:rsidRDefault="0007248B" w:rsidP="0007248B">
            <w:pPr>
              <w:pStyle w:val="TableBlock"/>
              <w:numPr>
                <w:ilvl w:val="0"/>
                <w:numId w:val="7"/>
              </w:numPr>
              <w:rPr>
                <w:rFonts w:ascii="David" w:hAnsi="David"/>
                <w:sz w:val="26"/>
              </w:rPr>
            </w:pPr>
            <w:r w:rsidRPr="0007248B">
              <w:rPr>
                <w:rFonts w:ascii="David" w:hAnsi="David" w:hint="cs"/>
                <w:sz w:val="26"/>
                <w:rtl/>
              </w:rPr>
              <w:t xml:space="preserve"> משקיע מוסדי יצהיר אחת לשנה, ברבעון האחרון של כל שנה, על מדיניות ההשקעה הצפויה שלו לשנה </w:t>
            </w:r>
            <w:proofErr w:type="spellStart"/>
            <w:r w:rsidRPr="0007248B">
              <w:rPr>
                <w:rFonts w:ascii="David" w:hAnsi="David" w:hint="cs"/>
                <w:sz w:val="26"/>
                <w:rtl/>
              </w:rPr>
              <w:t>הקלנדארית</w:t>
            </w:r>
            <w:proofErr w:type="spellEnd"/>
            <w:r w:rsidRPr="0007248B">
              <w:rPr>
                <w:rFonts w:ascii="David" w:hAnsi="David" w:hint="cs"/>
                <w:sz w:val="26"/>
                <w:rtl/>
              </w:rPr>
              <w:t xml:space="preserve"> הקרובה. ההצהרה תכלול ציון מדדי ייחוס, תוך התייחסות לאפיקי ההשקעה הבאים: מניות, אג"ח ממשלתי ואג"ח </w:t>
            </w:r>
            <w:proofErr w:type="spellStart"/>
            <w:r w:rsidRPr="0007248B">
              <w:rPr>
                <w:rFonts w:ascii="David" w:hAnsi="David" w:hint="cs"/>
                <w:sz w:val="26"/>
                <w:rtl/>
              </w:rPr>
              <w:t>קונצרני</w:t>
            </w:r>
            <w:proofErr w:type="spellEnd"/>
            <w:r w:rsidRPr="0007248B">
              <w:rPr>
                <w:rFonts w:ascii="David" w:hAnsi="David" w:hint="cs"/>
                <w:sz w:val="26"/>
                <w:rtl/>
              </w:rPr>
              <w:t xml:space="preserve">. </w:t>
            </w:r>
          </w:p>
          <w:p w14:paraId="375F1FF7" w14:textId="77777777" w:rsidR="0007248B" w:rsidRPr="0007248B" w:rsidRDefault="0007248B" w:rsidP="0007248B">
            <w:pPr>
              <w:pStyle w:val="TableBlock"/>
              <w:numPr>
                <w:ilvl w:val="0"/>
                <w:numId w:val="7"/>
              </w:numPr>
              <w:rPr>
                <w:rFonts w:ascii="David" w:hAnsi="David"/>
                <w:sz w:val="26"/>
              </w:rPr>
            </w:pPr>
            <w:r w:rsidRPr="0007248B">
              <w:rPr>
                <w:rFonts w:ascii="David" w:hAnsi="David" w:hint="cs"/>
                <w:sz w:val="26"/>
                <w:rtl/>
              </w:rPr>
              <w:t xml:space="preserve"> המשקיע המוסדי יציין את שיעורי החשיפה ומדדי הייחוס הרלוונטיים לכל אפיק.</w:t>
            </w:r>
          </w:p>
          <w:p w14:paraId="575A0E96" w14:textId="77777777" w:rsidR="0007248B" w:rsidRPr="0007248B" w:rsidRDefault="0007248B" w:rsidP="0007248B">
            <w:pPr>
              <w:pStyle w:val="TableBlock"/>
              <w:numPr>
                <w:ilvl w:val="0"/>
                <w:numId w:val="7"/>
              </w:numPr>
              <w:rPr>
                <w:rFonts w:ascii="David" w:hAnsi="David"/>
                <w:sz w:val="26"/>
                <w:rtl/>
              </w:rPr>
            </w:pPr>
            <w:r w:rsidRPr="0007248B">
              <w:rPr>
                <w:rFonts w:ascii="David" w:hAnsi="David" w:hint="cs"/>
                <w:sz w:val="26"/>
                <w:rtl/>
              </w:rPr>
              <w:t xml:space="preserve"> משקיע מוסדי יפרט במסגרת המדיניות אותה הוא מפרסם מהם השיקולים הסביבתיים הנשקלים על ידו וכיצד הם מיושמים במדיניות ההשקעות שלו, בבחינת ההשקעות ובאופן ניהול ההשקעות. כמו כן, יפרט אם הוא נוקט במדיניות של הימנעות גורפת מהשקעות בענפים מסוימים בשל שיקולי סביבה ושינויי אקלים.</w:t>
            </w:r>
          </w:p>
        </w:tc>
      </w:tr>
      <w:tr w:rsidR="0007248B" w:rsidRPr="0007248B" w14:paraId="12DF00C5" w14:textId="77777777" w:rsidTr="00E619CE">
        <w:tblPrEx>
          <w:tblLook w:val="0000" w:firstRow="0" w:lastRow="0" w:firstColumn="0" w:lastColumn="0" w:noHBand="0" w:noVBand="0"/>
        </w:tblPrEx>
        <w:trPr>
          <w:gridAfter w:val="3"/>
          <w:wAfter w:w="4682" w:type="dxa"/>
          <w:cantSplit/>
        </w:trPr>
        <w:tc>
          <w:tcPr>
            <w:tcW w:w="1871" w:type="dxa"/>
            <w:tcMar>
              <w:top w:w="91" w:type="dxa"/>
              <w:left w:w="0" w:type="dxa"/>
              <w:bottom w:w="91" w:type="dxa"/>
              <w:right w:w="0" w:type="dxa"/>
            </w:tcMar>
          </w:tcPr>
          <w:p w14:paraId="3A8EA3C0" w14:textId="77777777" w:rsidR="0007248B" w:rsidRPr="0007248B" w:rsidRDefault="0007248B" w:rsidP="00E619CE">
            <w:pPr>
              <w:pStyle w:val="TableSideHeading"/>
              <w:rPr>
                <w:rFonts w:ascii="David" w:hAnsi="David"/>
                <w:sz w:val="26"/>
                <w:rtl/>
              </w:rPr>
            </w:pPr>
          </w:p>
        </w:tc>
        <w:tc>
          <w:tcPr>
            <w:tcW w:w="624" w:type="dxa"/>
            <w:tcMar>
              <w:top w:w="91" w:type="dxa"/>
              <w:left w:w="0" w:type="dxa"/>
              <w:bottom w:w="91" w:type="dxa"/>
              <w:right w:w="0" w:type="dxa"/>
            </w:tcMar>
          </w:tcPr>
          <w:p w14:paraId="0D2CBDCB" w14:textId="77777777" w:rsidR="0007248B" w:rsidRPr="0007248B" w:rsidRDefault="0007248B" w:rsidP="00E619CE">
            <w:pPr>
              <w:pStyle w:val="TableText"/>
              <w:rPr>
                <w:rFonts w:ascii="David" w:hAnsi="David"/>
                <w:sz w:val="26"/>
                <w:rtl/>
              </w:rPr>
            </w:pPr>
          </w:p>
        </w:tc>
        <w:tc>
          <w:tcPr>
            <w:tcW w:w="625" w:type="dxa"/>
            <w:tcMar>
              <w:top w:w="91" w:type="dxa"/>
              <w:left w:w="0" w:type="dxa"/>
              <w:bottom w:w="91" w:type="dxa"/>
              <w:right w:w="0" w:type="dxa"/>
            </w:tcMar>
          </w:tcPr>
          <w:p w14:paraId="0879BB56" w14:textId="77777777" w:rsidR="0007248B" w:rsidRPr="0007248B" w:rsidRDefault="0007248B" w:rsidP="00E619CE">
            <w:pPr>
              <w:pStyle w:val="TableText"/>
              <w:rPr>
                <w:rFonts w:ascii="David" w:hAnsi="David"/>
                <w:sz w:val="26"/>
                <w:rtl/>
              </w:rPr>
            </w:pPr>
          </w:p>
        </w:tc>
        <w:tc>
          <w:tcPr>
            <w:tcW w:w="624" w:type="dxa"/>
            <w:tcMar>
              <w:top w:w="91" w:type="dxa"/>
              <w:left w:w="0" w:type="dxa"/>
              <w:bottom w:w="91" w:type="dxa"/>
              <w:right w:w="0" w:type="dxa"/>
            </w:tcMar>
          </w:tcPr>
          <w:p w14:paraId="41149AA0" w14:textId="77777777" w:rsidR="0007248B" w:rsidRPr="0007248B" w:rsidRDefault="0007248B" w:rsidP="00E619CE">
            <w:pPr>
              <w:pStyle w:val="TableText"/>
              <w:rPr>
                <w:rFonts w:ascii="David" w:hAnsi="David"/>
                <w:sz w:val="26"/>
                <w:rtl/>
              </w:rPr>
            </w:pPr>
          </w:p>
        </w:tc>
        <w:tc>
          <w:tcPr>
            <w:tcW w:w="624" w:type="dxa"/>
            <w:gridSpan w:val="2"/>
            <w:tcMar>
              <w:top w:w="91" w:type="dxa"/>
              <w:left w:w="0" w:type="dxa"/>
              <w:bottom w:w="91" w:type="dxa"/>
              <w:right w:w="0" w:type="dxa"/>
            </w:tcMar>
          </w:tcPr>
          <w:p w14:paraId="4E7CB16F" w14:textId="77777777" w:rsidR="0007248B" w:rsidRPr="0007248B" w:rsidRDefault="0007248B" w:rsidP="00E619CE">
            <w:pPr>
              <w:pStyle w:val="TableText"/>
              <w:rPr>
                <w:rFonts w:ascii="David" w:hAnsi="David"/>
                <w:sz w:val="26"/>
                <w:rtl/>
              </w:rPr>
            </w:pPr>
          </w:p>
        </w:tc>
        <w:tc>
          <w:tcPr>
            <w:tcW w:w="595" w:type="dxa"/>
            <w:tcMar>
              <w:top w:w="91" w:type="dxa"/>
              <w:left w:w="0" w:type="dxa"/>
              <w:bottom w:w="91" w:type="dxa"/>
              <w:right w:w="0" w:type="dxa"/>
            </w:tcMar>
          </w:tcPr>
          <w:p w14:paraId="20AFC9D7" w14:textId="77777777" w:rsidR="0007248B" w:rsidRPr="0007248B" w:rsidRDefault="0007248B" w:rsidP="00E619CE">
            <w:pPr>
              <w:pStyle w:val="TableText"/>
              <w:rPr>
                <w:rFonts w:ascii="David" w:hAnsi="David"/>
                <w:sz w:val="26"/>
                <w:rtl/>
              </w:rPr>
            </w:pPr>
          </w:p>
        </w:tc>
      </w:tr>
      <w:tr w:rsidR="0007248B" w:rsidRPr="0007248B" w14:paraId="1D783610" w14:textId="77777777" w:rsidTr="00E619CE">
        <w:tblPrEx>
          <w:tblLook w:val="0000" w:firstRow="0" w:lastRow="0" w:firstColumn="0" w:lastColumn="0" w:noHBand="0" w:noVBand="0"/>
        </w:tblPrEx>
        <w:trPr>
          <w:gridAfter w:val="3"/>
          <w:wAfter w:w="4682" w:type="dxa"/>
          <w:cantSplit/>
        </w:trPr>
        <w:tc>
          <w:tcPr>
            <w:tcW w:w="1871" w:type="dxa"/>
            <w:tcMar>
              <w:top w:w="91" w:type="dxa"/>
              <w:left w:w="0" w:type="dxa"/>
              <w:bottom w:w="91" w:type="dxa"/>
              <w:right w:w="0" w:type="dxa"/>
            </w:tcMar>
          </w:tcPr>
          <w:p w14:paraId="102D39DF" w14:textId="77777777" w:rsidR="0007248B" w:rsidRPr="0007248B" w:rsidRDefault="0007248B" w:rsidP="00E619CE">
            <w:pPr>
              <w:pStyle w:val="TableSideHeading"/>
              <w:rPr>
                <w:rFonts w:ascii="David" w:hAnsi="David"/>
                <w:sz w:val="26"/>
                <w:rtl/>
              </w:rPr>
            </w:pPr>
          </w:p>
        </w:tc>
        <w:tc>
          <w:tcPr>
            <w:tcW w:w="624" w:type="dxa"/>
            <w:tcMar>
              <w:top w:w="91" w:type="dxa"/>
              <w:left w:w="0" w:type="dxa"/>
              <w:bottom w:w="91" w:type="dxa"/>
              <w:right w:w="0" w:type="dxa"/>
            </w:tcMar>
          </w:tcPr>
          <w:p w14:paraId="3211CB3F" w14:textId="77777777" w:rsidR="0007248B" w:rsidRPr="0007248B" w:rsidRDefault="0007248B" w:rsidP="00E619CE">
            <w:pPr>
              <w:pStyle w:val="TableText"/>
              <w:rPr>
                <w:rFonts w:ascii="David" w:hAnsi="David"/>
                <w:sz w:val="26"/>
                <w:rtl/>
              </w:rPr>
            </w:pPr>
          </w:p>
        </w:tc>
        <w:tc>
          <w:tcPr>
            <w:tcW w:w="625" w:type="dxa"/>
            <w:tcMar>
              <w:top w:w="91" w:type="dxa"/>
              <w:left w:w="0" w:type="dxa"/>
              <w:bottom w:w="91" w:type="dxa"/>
              <w:right w:w="0" w:type="dxa"/>
            </w:tcMar>
          </w:tcPr>
          <w:p w14:paraId="6FAF024E" w14:textId="77777777" w:rsidR="0007248B" w:rsidRPr="0007248B" w:rsidRDefault="0007248B" w:rsidP="00E619CE">
            <w:pPr>
              <w:pStyle w:val="TableText"/>
              <w:rPr>
                <w:rFonts w:ascii="David" w:hAnsi="David"/>
                <w:sz w:val="26"/>
                <w:rtl/>
              </w:rPr>
            </w:pPr>
          </w:p>
        </w:tc>
        <w:tc>
          <w:tcPr>
            <w:tcW w:w="624" w:type="dxa"/>
            <w:tcMar>
              <w:top w:w="91" w:type="dxa"/>
              <w:left w:w="0" w:type="dxa"/>
              <w:bottom w:w="91" w:type="dxa"/>
              <w:right w:w="0" w:type="dxa"/>
            </w:tcMar>
          </w:tcPr>
          <w:p w14:paraId="27F8630C" w14:textId="77777777" w:rsidR="0007248B" w:rsidRPr="0007248B" w:rsidRDefault="0007248B" w:rsidP="00E619CE">
            <w:pPr>
              <w:pStyle w:val="TableText"/>
              <w:rPr>
                <w:rFonts w:ascii="David" w:hAnsi="David"/>
                <w:sz w:val="26"/>
                <w:rtl/>
              </w:rPr>
            </w:pPr>
          </w:p>
        </w:tc>
        <w:tc>
          <w:tcPr>
            <w:tcW w:w="624" w:type="dxa"/>
            <w:gridSpan w:val="2"/>
            <w:tcMar>
              <w:top w:w="91" w:type="dxa"/>
              <w:left w:w="0" w:type="dxa"/>
              <w:bottom w:w="91" w:type="dxa"/>
              <w:right w:w="0" w:type="dxa"/>
            </w:tcMar>
          </w:tcPr>
          <w:p w14:paraId="7EFC8ECF" w14:textId="77777777" w:rsidR="0007248B" w:rsidRPr="0007248B" w:rsidRDefault="0007248B" w:rsidP="00E619CE">
            <w:pPr>
              <w:pStyle w:val="TableText"/>
              <w:rPr>
                <w:rFonts w:ascii="David" w:hAnsi="David"/>
                <w:sz w:val="26"/>
                <w:rtl/>
              </w:rPr>
            </w:pPr>
          </w:p>
        </w:tc>
        <w:tc>
          <w:tcPr>
            <w:tcW w:w="595" w:type="dxa"/>
            <w:tcMar>
              <w:top w:w="91" w:type="dxa"/>
              <w:left w:w="0" w:type="dxa"/>
              <w:bottom w:w="91" w:type="dxa"/>
              <w:right w:w="0" w:type="dxa"/>
            </w:tcMar>
          </w:tcPr>
          <w:p w14:paraId="39FF9808" w14:textId="77777777" w:rsidR="0007248B" w:rsidRPr="0007248B" w:rsidRDefault="0007248B" w:rsidP="00E619CE">
            <w:pPr>
              <w:pStyle w:val="TableText"/>
              <w:rPr>
                <w:rFonts w:ascii="David" w:hAnsi="David"/>
                <w:sz w:val="26"/>
                <w:rtl/>
              </w:rPr>
            </w:pPr>
          </w:p>
        </w:tc>
      </w:tr>
      <w:tr w:rsidR="0007248B" w:rsidRPr="0007248B" w14:paraId="4ECAC709" w14:textId="77777777" w:rsidTr="00E619CE">
        <w:trPr>
          <w:gridAfter w:val="2"/>
          <w:wAfter w:w="4653" w:type="dxa"/>
          <w:cantSplit/>
        </w:trPr>
        <w:tc>
          <w:tcPr>
            <w:tcW w:w="1871" w:type="dxa"/>
          </w:tcPr>
          <w:p w14:paraId="27BEBE69" w14:textId="77777777" w:rsidR="0007248B" w:rsidRPr="0007248B" w:rsidRDefault="0007248B" w:rsidP="00E619CE">
            <w:pPr>
              <w:pStyle w:val="TableSideHeading"/>
              <w:rPr>
                <w:rFonts w:ascii="David" w:hAnsi="David"/>
                <w:sz w:val="26"/>
              </w:rPr>
            </w:pPr>
          </w:p>
        </w:tc>
        <w:tc>
          <w:tcPr>
            <w:tcW w:w="624" w:type="dxa"/>
          </w:tcPr>
          <w:p w14:paraId="5B9B7744" w14:textId="77777777" w:rsidR="0007248B" w:rsidRPr="0007248B" w:rsidRDefault="0007248B" w:rsidP="00E619CE">
            <w:pPr>
              <w:pStyle w:val="TableText"/>
              <w:rPr>
                <w:rFonts w:ascii="David" w:hAnsi="David"/>
                <w:sz w:val="26"/>
              </w:rPr>
            </w:pPr>
          </w:p>
        </w:tc>
        <w:tc>
          <w:tcPr>
            <w:tcW w:w="625" w:type="dxa"/>
          </w:tcPr>
          <w:p w14:paraId="763B6396" w14:textId="77777777" w:rsidR="0007248B" w:rsidRPr="0007248B" w:rsidRDefault="0007248B" w:rsidP="00E619CE">
            <w:pPr>
              <w:pStyle w:val="TableText"/>
              <w:rPr>
                <w:rFonts w:ascii="David" w:hAnsi="David"/>
                <w:sz w:val="26"/>
              </w:rPr>
            </w:pPr>
          </w:p>
        </w:tc>
        <w:tc>
          <w:tcPr>
            <w:tcW w:w="624" w:type="dxa"/>
          </w:tcPr>
          <w:p w14:paraId="5F68634F" w14:textId="77777777" w:rsidR="0007248B" w:rsidRPr="0007248B" w:rsidRDefault="0007248B" w:rsidP="00E619CE">
            <w:pPr>
              <w:pStyle w:val="TableText"/>
              <w:rPr>
                <w:rFonts w:ascii="David" w:hAnsi="David"/>
                <w:sz w:val="26"/>
              </w:rPr>
            </w:pPr>
          </w:p>
        </w:tc>
        <w:tc>
          <w:tcPr>
            <w:tcW w:w="512" w:type="dxa"/>
          </w:tcPr>
          <w:p w14:paraId="42B6A43E" w14:textId="77777777" w:rsidR="0007248B" w:rsidRPr="0007248B" w:rsidRDefault="0007248B" w:rsidP="00E619CE">
            <w:pPr>
              <w:pStyle w:val="TableText"/>
              <w:rPr>
                <w:rFonts w:ascii="David" w:hAnsi="David"/>
                <w:sz w:val="26"/>
              </w:rPr>
            </w:pPr>
          </w:p>
        </w:tc>
        <w:tc>
          <w:tcPr>
            <w:tcW w:w="736" w:type="dxa"/>
            <w:gridSpan w:val="3"/>
          </w:tcPr>
          <w:p w14:paraId="73C7B07E" w14:textId="77777777" w:rsidR="0007248B" w:rsidRPr="0007248B" w:rsidRDefault="0007248B" w:rsidP="00E619CE">
            <w:pPr>
              <w:pStyle w:val="TableText"/>
              <w:rPr>
                <w:rFonts w:ascii="David" w:hAnsi="David"/>
                <w:sz w:val="26"/>
              </w:rPr>
            </w:pPr>
          </w:p>
        </w:tc>
      </w:tr>
      <w:tr w:rsidR="0007248B" w:rsidRPr="0007248B" w14:paraId="3708CAFC" w14:textId="77777777" w:rsidTr="00E619CE">
        <w:trPr>
          <w:gridAfter w:val="1"/>
          <w:wAfter w:w="9" w:type="dxa"/>
          <w:cantSplit/>
        </w:trPr>
        <w:tc>
          <w:tcPr>
            <w:tcW w:w="1871" w:type="dxa"/>
          </w:tcPr>
          <w:p w14:paraId="54428873" w14:textId="77777777" w:rsidR="0007248B" w:rsidRPr="0007248B" w:rsidRDefault="0007248B" w:rsidP="00E619CE">
            <w:pPr>
              <w:pStyle w:val="TableSideHeading"/>
              <w:rPr>
                <w:rFonts w:ascii="David" w:hAnsi="David"/>
                <w:sz w:val="26"/>
              </w:rPr>
            </w:pPr>
          </w:p>
        </w:tc>
        <w:tc>
          <w:tcPr>
            <w:tcW w:w="624" w:type="dxa"/>
          </w:tcPr>
          <w:p w14:paraId="17797800" w14:textId="77777777" w:rsidR="0007248B" w:rsidRPr="0007248B" w:rsidRDefault="0007248B" w:rsidP="00E619CE">
            <w:pPr>
              <w:pStyle w:val="TableText"/>
              <w:rPr>
                <w:rFonts w:ascii="David" w:hAnsi="David"/>
                <w:sz w:val="26"/>
              </w:rPr>
            </w:pPr>
          </w:p>
        </w:tc>
        <w:tc>
          <w:tcPr>
            <w:tcW w:w="625" w:type="dxa"/>
          </w:tcPr>
          <w:p w14:paraId="29FD51C5" w14:textId="77777777" w:rsidR="0007248B" w:rsidRPr="0007248B" w:rsidRDefault="0007248B" w:rsidP="00E619CE">
            <w:pPr>
              <w:pStyle w:val="TableText"/>
              <w:rPr>
                <w:rFonts w:ascii="David" w:hAnsi="David"/>
                <w:sz w:val="26"/>
              </w:rPr>
            </w:pPr>
          </w:p>
        </w:tc>
        <w:tc>
          <w:tcPr>
            <w:tcW w:w="624" w:type="dxa"/>
          </w:tcPr>
          <w:p w14:paraId="7636CE20" w14:textId="77777777" w:rsidR="0007248B" w:rsidRPr="0007248B" w:rsidRDefault="0007248B" w:rsidP="00E619CE">
            <w:pPr>
              <w:pStyle w:val="TableText"/>
              <w:rPr>
                <w:rFonts w:ascii="David" w:hAnsi="David"/>
                <w:sz w:val="26"/>
              </w:rPr>
            </w:pPr>
          </w:p>
        </w:tc>
        <w:tc>
          <w:tcPr>
            <w:tcW w:w="512" w:type="dxa"/>
          </w:tcPr>
          <w:p w14:paraId="2F8EA07B" w14:textId="77777777" w:rsidR="0007248B" w:rsidRPr="0007248B" w:rsidRDefault="0007248B" w:rsidP="00E619CE">
            <w:pPr>
              <w:pStyle w:val="TableText"/>
              <w:rPr>
                <w:rFonts w:ascii="David" w:hAnsi="David"/>
                <w:sz w:val="26"/>
              </w:rPr>
            </w:pPr>
          </w:p>
        </w:tc>
        <w:tc>
          <w:tcPr>
            <w:tcW w:w="736" w:type="dxa"/>
            <w:gridSpan w:val="3"/>
          </w:tcPr>
          <w:p w14:paraId="0DAF5618" w14:textId="77777777" w:rsidR="0007248B" w:rsidRPr="0007248B" w:rsidRDefault="0007248B" w:rsidP="00E619CE">
            <w:pPr>
              <w:pStyle w:val="TableText"/>
              <w:rPr>
                <w:rFonts w:ascii="David" w:hAnsi="David"/>
                <w:sz w:val="26"/>
              </w:rPr>
            </w:pPr>
          </w:p>
        </w:tc>
        <w:tc>
          <w:tcPr>
            <w:tcW w:w="4644" w:type="dxa"/>
          </w:tcPr>
          <w:p w14:paraId="1A868E2B" w14:textId="77777777" w:rsidR="0007248B" w:rsidRPr="0007248B" w:rsidRDefault="0007248B" w:rsidP="00E619CE">
            <w:pPr>
              <w:pStyle w:val="TableBlock"/>
              <w:rPr>
                <w:rFonts w:ascii="David" w:hAnsi="David"/>
                <w:sz w:val="26"/>
              </w:rPr>
            </w:pPr>
          </w:p>
        </w:tc>
      </w:tr>
    </w:tbl>
    <w:p w14:paraId="675FE456" w14:textId="77777777" w:rsidR="0007248B" w:rsidRPr="0007248B" w:rsidRDefault="0007248B" w:rsidP="0007248B">
      <w:pPr>
        <w:pStyle w:val="HeadDivreiHesber"/>
        <w:spacing w:before="0" w:after="0" w:line="240" w:lineRule="auto"/>
        <w:jc w:val="both"/>
        <w:rPr>
          <w:rFonts w:ascii="David" w:hAnsi="David"/>
          <w:sz w:val="26"/>
          <w:rtl/>
        </w:rPr>
      </w:pPr>
    </w:p>
    <w:p w14:paraId="64C79952" w14:textId="77777777" w:rsidR="0007248B" w:rsidRPr="0007248B" w:rsidRDefault="0007248B" w:rsidP="0007248B">
      <w:pPr>
        <w:pStyle w:val="HeadDivreiHesber"/>
        <w:spacing w:before="0" w:after="0" w:line="240" w:lineRule="auto"/>
        <w:rPr>
          <w:rFonts w:ascii="David" w:hAnsi="David"/>
          <w:sz w:val="26"/>
          <w:rtl/>
        </w:rPr>
      </w:pPr>
    </w:p>
    <w:p w14:paraId="5851D613" w14:textId="77777777" w:rsidR="0007248B" w:rsidRPr="0007248B" w:rsidRDefault="0007248B" w:rsidP="0007248B">
      <w:pPr>
        <w:pStyle w:val="HeadDivreiHesber"/>
        <w:spacing w:before="0" w:after="0" w:line="240" w:lineRule="auto"/>
        <w:rPr>
          <w:rFonts w:ascii="David" w:hAnsi="David"/>
          <w:sz w:val="26"/>
          <w:rtl/>
        </w:rPr>
      </w:pPr>
      <w:r w:rsidRPr="0007248B">
        <w:rPr>
          <w:rFonts w:ascii="David" w:hAnsi="David" w:hint="cs"/>
          <w:sz w:val="26"/>
          <w:rtl/>
        </w:rPr>
        <w:t>דברי הסבר</w:t>
      </w:r>
    </w:p>
    <w:p w14:paraId="568E7756" w14:textId="77777777" w:rsidR="0007248B" w:rsidRPr="0007248B" w:rsidRDefault="0007248B" w:rsidP="0007248B">
      <w:pPr>
        <w:pStyle w:val="HeadDivreiHesber"/>
        <w:spacing w:before="0" w:after="0" w:line="240" w:lineRule="auto"/>
        <w:rPr>
          <w:rFonts w:ascii="David" w:hAnsi="David"/>
          <w:sz w:val="26"/>
          <w:rtl/>
        </w:rPr>
      </w:pPr>
    </w:p>
    <w:p w14:paraId="3284EF51" w14:textId="77777777" w:rsidR="0007248B" w:rsidRPr="0007248B" w:rsidRDefault="0007248B" w:rsidP="0007248B">
      <w:pPr>
        <w:pStyle w:val="Hesber"/>
        <w:ind w:firstLine="0"/>
        <w:rPr>
          <w:rFonts w:ascii="David" w:hAnsi="David"/>
          <w:sz w:val="26"/>
          <w:rtl/>
        </w:rPr>
      </w:pPr>
      <w:r w:rsidRPr="0007248B">
        <w:rPr>
          <w:rFonts w:ascii="David" w:hAnsi="David" w:hint="cs"/>
          <w:sz w:val="26"/>
          <w:rtl/>
        </w:rPr>
        <w:t xml:space="preserve">שיקולים הנוגעים להיבטים סביבתיים הולכים והופכים למשמעותיים יותר בשיח הציבורי בכלל ובתחום ההשקעות הפיננסיות, עקב השפעתם המהותית על תיקי ההשקעות של ציבור החוסכים בישראל, הן בהיבט ניהול הסיכונים והן בהיבט ביצועי ההשקעות. נושאים סביבתיים כוללים בחובם התמודדות עם זיהום אוויר, מים וקרקע, וקידום תשתיות אנרגיה נקייה, ככל שהם עשויים להשפיע על תשואת ההשקעות והסיכונים הגלומים בהם. לפיכך, מוצע לקבוע בחוזר זה כי במסגרת מדיניות ההשקעה הכוללת שנקבעת על ידי ועדת ההשקעות של משקיע מוסדי, תיקבע מדיניות השקעה ביחס לשיקולים סביבתיים אשר רלוונטיים לביצועי תיק ההשקעות ועשויים להשפיע עליהם. בתמצית, אלו עיקרי התיקונים </w:t>
      </w:r>
      <w:r w:rsidRPr="0007248B">
        <w:rPr>
          <w:rFonts w:ascii="David" w:hAnsi="David" w:hint="cs"/>
          <w:sz w:val="26"/>
          <w:rtl/>
        </w:rPr>
        <w:lastRenderedPageBreak/>
        <w:t xml:space="preserve">המוצעים: </w:t>
      </w:r>
    </w:p>
    <w:p w14:paraId="30DDBE6F" w14:textId="77777777" w:rsidR="0007248B" w:rsidRPr="0007248B" w:rsidRDefault="0007248B" w:rsidP="0007248B">
      <w:pPr>
        <w:pStyle w:val="Hesber"/>
        <w:numPr>
          <w:ilvl w:val="0"/>
          <w:numId w:val="8"/>
        </w:numPr>
        <w:rPr>
          <w:rFonts w:ascii="David" w:hAnsi="David"/>
          <w:sz w:val="26"/>
        </w:rPr>
      </w:pPr>
      <w:r w:rsidRPr="0007248B">
        <w:rPr>
          <w:rFonts w:ascii="David" w:hAnsi="David" w:hint="cs"/>
          <w:sz w:val="26"/>
          <w:rtl/>
        </w:rPr>
        <w:t>ועדת ההשקעות תקבע מדיניות השקעה ביחס לשיקולי סביבה במסגרת קביעת מדיניות ההשקעה הכללית שנקבעת על ידה, ככל ששיקולים אלו רלוונטיים לביצועי תיק ההשקעות ועשויים להשפיע עליהם.</w:t>
      </w:r>
    </w:p>
    <w:p w14:paraId="45DF7128" w14:textId="77777777" w:rsidR="0007248B" w:rsidRPr="0007248B" w:rsidRDefault="0007248B" w:rsidP="0007248B">
      <w:pPr>
        <w:pStyle w:val="Hesber"/>
        <w:numPr>
          <w:ilvl w:val="0"/>
          <w:numId w:val="8"/>
        </w:numPr>
        <w:rPr>
          <w:rFonts w:ascii="David" w:hAnsi="David"/>
          <w:sz w:val="26"/>
        </w:rPr>
      </w:pPr>
      <w:r w:rsidRPr="0007248B">
        <w:rPr>
          <w:rFonts w:ascii="David" w:hAnsi="David" w:hint="cs"/>
          <w:sz w:val="26"/>
          <w:rtl/>
        </w:rPr>
        <w:t>ועדת ההשקעות תגבש כללים ונהלים לפיתוח מומחיותו של המשקיע המוסדי בנושא, ללא תלות בגורמים חיצוניים. אולם, עד לפיתוח המומחיות יוכל הגוף המוסדי להתקשר עם נותני שירותים חיצוניים בעלי מומחיות בנושא, ובלבד שלא יתקיימו ניגודי עניינים בין השירותים אותם מעניק המומחה, ובתנאי שקוימו הליכים מפורטים ומתועדים לבחירה.</w:t>
      </w:r>
    </w:p>
    <w:p w14:paraId="2804D44A" w14:textId="6EB85024" w:rsidR="0007248B" w:rsidRDefault="0007248B" w:rsidP="0007248B">
      <w:pPr>
        <w:pStyle w:val="Hesber"/>
        <w:numPr>
          <w:ilvl w:val="0"/>
          <w:numId w:val="8"/>
        </w:numPr>
        <w:rPr>
          <w:rFonts w:ascii="David" w:hAnsi="David"/>
          <w:sz w:val="26"/>
        </w:rPr>
      </w:pPr>
      <w:r w:rsidRPr="0007248B">
        <w:rPr>
          <w:rFonts w:ascii="David" w:hAnsi="David" w:hint="cs"/>
          <w:sz w:val="26"/>
          <w:rtl/>
        </w:rPr>
        <w:t xml:space="preserve">משקיע מוסדי יפרט במסגרת המדיניות מהם השיקולים הסביבתיים הנשקלים על ידו במסגרת ניהול ההשקעות ואת הסיכונים המתפתחים בנושא. </w:t>
      </w:r>
    </w:p>
    <w:p w14:paraId="5BF8AF02" w14:textId="589637D8" w:rsidR="00D0091E" w:rsidRDefault="00D0091E" w:rsidP="00A43E2E">
      <w:pPr>
        <w:pStyle w:val="Hesber"/>
        <w:ind w:firstLine="0"/>
        <w:rPr>
          <w:rFonts w:ascii="David" w:hAnsi="David"/>
          <w:sz w:val="26"/>
        </w:rPr>
      </w:pPr>
      <w:r w:rsidRPr="00CF6837">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CF6837">
        <w:rPr>
          <w:rFonts w:ascii="David" w:hAnsi="David" w:hint="cs"/>
          <w:sz w:val="26"/>
          <w:rtl/>
        </w:rPr>
        <w:t>ונאדין</w:t>
      </w:r>
      <w:proofErr w:type="spellEnd"/>
      <w:r w:rsidRPr="00CF6837">
        <w:rPr>
          <w:rFonts w:ascii="David" w:hAnsi="David" w:hint="cs"/>
          <w:sz w:val="26"/>
          <w:rtl/>
        </w:rPr>
        <w:t xml:space="preserve"> </w:t>
      </w:r>
      <w:proofErr w:type="spellStart"/>
      <w:r w:rsidRPr="00CF6837">
        <w:rPr>
          <w:rFonts w:ascii="David" w:hAnsi="David" w:hint="cs"/>
          <w:sz w:val="26"/>
          <w:rtl/>
        </w:rPr>
        <w:t>ותד</w:t>
      </w:r>
      <w:proofErr w:type="spellEnd"/>
      <w:r w:rsidRPr="00CF6837">
        <w:rPr>
          <w:rFonts w:ascii="David" w:hAnsi="David" w:hint="cs"/>
          <w:sz w:val="26"/>
          <w:rtl/>
        </w:rPr>
        <w:t xml:space="preserve">.  </w:t>
      </w:r>
    </w:p>
    <w:p w14:paraId="15E94CB6" w14:textId="3230A388" w:rsidR="001E70C9" w:rsidRDefault="001E70C9" w:rsidP="00D0091E">
      <w:pPr>
        <w:pStyle w:val="Hesber"/>
        <w:rPr>
          <w:rFonts w:ascii="David" w:hAnsi="David"/>
          <w:sz w:val="26"/>
        </w:rPr>
      </w:pPr>
    </w:p>
    <w:p w14:paraId="0EFE61D7" w14:textId="4FFC28E1" w:rsidR="001E70C9" w:rsidRDefault="001E70C9" w:rsidP="00D0091E">
      <w:pPr>
        <w:pStyle w:val="Hesber"/>
        <w:rPr>
          <w:rFonts w:ascii="David" w:hAnsi="David"/>
          <w:sz w:val="26"/>
        </w:rPr>
      </w:pPr>
    </w:p>
    <w:p w14:paraId="17B92D49" w14:textId="360B126D" w:rsidR="001E70C9" w:rsidRDefault="001E70C9" w:rsidP="00D0091E">
      <w:pPr>
        <w:pStyle w:val="Hesber"/>
        <w:rPr>
          <w:rFonts w:ascii="David" w:hAnsi="David"/>
          <w:sz w:val="26"/>
        </w:rPr>
      </w:pPr>
    </w:p>
    <w:p w14:paraId="61CEAF52" w14:textId="5128C0D1" w:rsidR="001E70C9" w:rsidRDefault="001E70C9" w:rsidP="00D0091E">
      <w:pPr>
        <w:pStyle w:val="Hesber"/>
        <w:rPr>
          <w:rFonts w:ascii="David" w:hAnsi="David"/>
          <w:sz w:val="26"/>
        </w:rPr>
      </w:pPr>
    </w:p>
    <w:p w14:paraId="2379FE93" w14:textId="1A280F6B" w:rsidR="001E70C9" w:rsidRDefault="001E70C9" w:rsidP="00D0091E">
      <w:pPr>
        <w:pStyle w:val="Hesber"/>
        <w:rPr>
          <w:rFonts w:ascii="David" w:hAnsi="David"/>
          <w:sz w:val="26"/>
        </w:rPr>
      </w:pPr>
    </w:p>
    <w:p w14:paraId="0DE43053" w14:textId="061E9954" w:rsidR="001E70C9" w:rsidRDefault="001E70C9" w:rsidP="00D0091E">
      <w:pPr>
        <w:pStyle w:val="Hesber"/>
        <w:rPr>
          <w:rFonts w:ascii="David" w:hAnsi="David"/>
          <w:sz w:val="26"/>
        </w:rPr>
      </w:pPr>
    </w:p>
    <w:p w14:paraId="5EECCF54" w14:textId="3DDAC2FA" w:rsidR="001E70C9" w:rsidRDefault="001E70C9" w:rsidP="00D0091E">
      <w:pPr>
        <w:pStyle w:val="Hesber"/>
        <w:rPr>
          <w:rFonts w:ascii="David" w:hAnsi="David"/>
          <w:sz w:val="26"/>
        </w:rPr>
      </w:pPr>
    </w:p>
    <w:p w14:paraId="0C76B529" w14:textId="41108C2F" w:rsidR="001E70C9" w:rsidRDefault="001E70C9" w:rsidP="00D0091E">
      <w:pPr>
        <w:pStyle w:val="Hesber"/>
        <w:rPr>
          <w:rFonts w:ascii="David" w:hAnsi="David"/>
          <w:sz w:val="26"/>
        </w:rPr>
      </w:pPr>
    </w:p>
    <w:p w14:paraId="32DEB9F2" w14:textId="25904EB5" w:rsidR="001E70C9" w:rsidRDefault="001E70C9" w:rsidP="00D0091E">
      <w:pPr>
        <w:pStyle w:val="Hesber"/>
        <w:rPr>
          <w:rFonts w:ascii="David" w:hAnsi="David"/>
          <w:sz w:val="26"/>
        </w:rPr>
      </w:pPr>
    </w:p>
    <w:p w14:paraId="2C284EC5" w14:textId="2162AD51" w:rsidR="001E70C9" w:rsidRDefault="001E70C9" w:rsidP="00D0091E">
      <w:pPr>
        <w:pStyle w:val="Hesber"/>
        <w:rPr>
          <w:rFonts w:ascii="David" w:hAnsi="David"/>
          <w:sz w:val="26"/>
        </w:rPr>
      </w:pPr>
    </w:p>
    <w:p w14:paraId="619FB66B" w14:textId="47261757" w:rsidR="001E70C9" w:rsidRDefault="001E70C9" w:rsidP="00D0091E">
      <w:pPr>
        <w:pStyle w:val="Hesber"/>
        <w:rPr>
          <w:rFonts w:ascii="David" w:hAnsi="David"/>
          <w:sz w:val="26"/>
        </w:rPr>
      </w:pPr>
    </w:p>
    <w:p w14:paraId="1B5A30BC" w14:textId="6E0C64C0" w:rsidR="001E70C9" w:rsidRDefault="001E70C9" w:rsidP="00D0091E">
      <w:pPr>
        <w:pStyle w:val="Hesber"/>
        <w:rPr>
          <w:rFonts w:ascii="David" w:hAnsi="David"/>
          <w:sz w:val="26"/>
        </w:rPr>
      </w:pPr>
    </w:p>
    <w:p w14:paraId="6C820C63" w14:textId="54222EDF" w:rsidR="001E70C9" w:rsidRDefault="001E70C9" w:rsidP="00D0091E">
      <w:pPr>
        <w:pStyle w:val="Hesber"/>
        <w:rPr>
          <w:rFonts w:ascii="David" w:hAnsi="David"/>
          <w:sz w:val="26"/>
        </w:rPr>
      </w:pPr>
    </w:p>
    <w:p w14:paraId="3E6CF30F" w14:textId="74B55C50" w:rsidR="001E70C9" w:rsidRDefault="001E70C9" w:rsidP="00D0091E">
      <w:pPr>
        <w:pStyle w:val="Hesber"/>
        <w:rPr>
          <w:rFonts w:ascii="David" w:hAnsi="David"/>
          <w:sz w:val="26"/>
        </w:rPr>
      </w:pPr>
    </w:p>
    <w:p w14:paraId="6CA36F68" w14:textId="54F5DCD8" w:rsidR="001E70C9" w:rsidRDefault="001E70C9" w:rsidP="00D0091E">
      <w:pPr>
        <w:pStyle w:val="Hesber"/>
        <w:rPr>
          <w:rFonts w:ascii="David" w:hAnsi="David"/>
          <w:sz w:val="26"/>
        </w:rPr>
      </w:pPr>
    </w:p>
    <w:p w14:paraId="7726323E" w14:textId="0F626452" w:rsidR="001E70C9" w:rsidRDefault="001E70C9" w:rsidP="00D0091E">
      <w:pPr>
        <w:pStyle w:val="Hesber"/>
        <w:rPr>
          <w:rFonts w:ascii="David" w:hAnsi="David"/>
          <w:sz w:val="26"/>
        </w:rPr>
      </w:pPr>
    </w:p>
    <w:p w14:paraId="4CAF5190" w14:textId="7CD8EEDB" w:rsidR="001E70C9" w:rsidRDefault="001E70C9" w:rsidP="00D0091E">
      <w:pPr>
        <w:pStyle w:val="Hesber"/>
        <w:rPr>
          <w:rFonts w:ascii="David" w:hAnsi="David"/>
          <w:sz w:val="26"/>
        </w:rPr>
      </w:pPr>
    </w:p>
    <w:p w14:paraId="295036D4" w14:textId="055432D1" w:rsidR="001E70C9" w:rsidRDefault="001E70C9" w:rsidP="00D0091E">
      <w:pPr>
        <w:pStyle w:val="Hesber"/>
        <w:rPr>
          <w:rFonts w:ascii="David" w:hAnsi="David"/>
          <w:sz w:val="26"/>
        </w:rPr>
      </w:pPr>
    </w:p>
    <w:p w14:paraId="0A2E4090" w14:textId="2B6F967A" w:rsidR="001E70C9" w:rsidRDefault="001E70C9" w:rsidP="00D0091E">
      <w:pPr>
        <w:pStyle w:val="Hesber"/>
        <w:rPr>
          <w:rFonts w:ascii="David" w:hAnsi="David"/>
          <w:sz w:val="26"/>
        </w:rPr>
      </w:pPr>
    </w:p>
    <w:p w14:paraId="72EC88B4" w14:textId="77455F0B" w:rsidR="001E70C9" w:rsidRDefault="001E70C9" w:rsidP="00D0091E">
      <w:pPr>
        <w:pStyle w:val="Hesber"/>
        <w:rPr>
          <w:rFonts w:ascii="David" w:hAnsi="David"/>
          <w:sz w:val="26"/>
        </w:rPr>
      </w:pPr>
    </w:p>
    <w:p w14:paraId="3B5C1A5D" w14:textId="576C34E1" w:rsidR="001E70C9" w:rsidRDefault="001E70C9" w:rsidP="00D0091E">
      <w:pPr>
        <w:pStyle w:val="Hesber"/>
        <w:rPr>
          <w:rFonts w:ascii="David" w:hAnsi="David"/>
          <w:sz w:val="26"/>
        </w:rPr>
      </w:pPr>
    </w:p>
    <w:p w14:paraId="6D35866F" w14:textId="39734357" w:rsidR="001E70C9" w:rsidRDefault="001E70C9" w:rsidP="00D0091E">
      <w:pPr>
        <w:pStyle w:val="Hesber"/>
        <w:rPr>
          <w:rFonts w:ascii="David" w:hAnsi="David"/>
          <w:sz w:val="26"/>
        </w:rPr>
      </w:pPr>
    </w:p>
    <w:p w14:paraId="15EB338E" w14:textId="7B2584FB" w:rsidR="001E70C9" w:rsidRDefault="001E70C9" w:rsidP="00D0091E">
      <w:pPr>
        <w:pStyle w:val="Hesber"/>
        <w:rPr>
          <w:rFonts w:ascii="David" w:hAnsi="David"/>
          <w:sz w:val="26"/>
        </w:rPr>
      </w:pPr>
    </w:p>
    <w:p w14:paraId="696B8C70" w14:textId="5DF79D3F" w:rsidR="001E70C9" w:rsidRDefault="001E70C9" w:rsidP="00D0091E">
      <w:pPr>
        <w:pStyle w:val="Hesber"/>
        <w:rPr>
          <w:rFonts w:ascii="David" w:hAnsi="David"/>
          <w:sz w:val="26"/>
        </w:rPr>
      </w:pPr>
    </w:p>
    <w:p w14:paraId="7C0F270A" w14:textId="0D1E3C2D" w:rsidR="001E70C9" w:rsidRPr="001E70C9" w:rsidRDefault="001E70C9" w:rsidP="001E70C9">
      <w:pPr>
        <w:spacing w:line="360" w:lineRule="auto"/>
        <w:jc w:val="center"/>
        <w:rPr>
          <w:rFonts w:ascii="David" w:hAnsi="David" w:cs="David"/>
          <w:b/>
          <w:bCs/>
          <w:sz w:val="26"/>
          <w:szCs w:val="26"/>
          <w:rtl/>
        </w:rPr>
      </w:pPr>
      <w:r w:rsidRPr="001E70C9">
        <w:rPr>
          <w:rFonts w:ascii="David" w:hAnsi="David" w:cs="David" w:hint="cs"/>
          <w:b/>
          <w:bCs/>
          <w:sz w:val="26"/>
          <w:szCs w:val="26"/>
          <w:rtl/>
        </w:rPr>
        <w:t xml:space="preserve">הצעת חוק החברות (תיקון- </w:t>
      </w:r>
      <w:r w:rsidR="000A706C">
        <w:rPr>
          <w:rFonts w:ascii="David" w:hAnsi="David" w:cs="David" w:hint="cs"/>
          <w:b/>
          <w:bCs/>
          <w:sz w:val="26"/>
          <w:szCs w:val="26"/>
          <w:rtl/>
        </w:rPr>
        <w:t>התחשבות בשיקולים לא עסקיים</w:t>
      </w:r>
      <w:r w:rsidRPr="001E70C9">
        <w:rPr>
          <w:rFonts w:ascii="David" w:hAnsi="David" w:cs="David" w:hint="cs"/>
          <w:b/>
          <w:bCs/>
          <w:sz w:val="26"/>
          <w:szCs w:val="26"/>
          <w:rtl/>
        </w:rPr>
        <w:t>), התשפ״א-2021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5944"/>
      </w:tblGrid>
      <w:tr w:rsidR="001E70C9" w:rsidRPr="001E70C9" w14:paraId="4539AD76" w14:textId="77777777" w:rsidTr="00252014">
        <w:tc>
          <w:tcPr>
            <w:tcW w:w="2346" w:type="dxa"/>
          </w:tcPr>
          <w:p w14:paraId="6C599F72" w14:textId="77777777" w:rsidR="001E70C9" w:rsidRPr="001E70C9" w:rsidRDefault="001E70C9" w:rsidP="00E619CE">
            <w:pPr>
              <w:spacing w:line="360" w:lineRule="auto"/>
              <w:rPr>
                <w:rFonts w:ascii="David" w:hAnsi="David" w:cs="David"/>
                <w:sz w:val="26"/>
                <w:szCs w:val="26"/>
                <w:rtl/>
              </w:rPr>
            </w:pPr>
            <w:r w:rsidRPr="001E70C9">
              <w:rPr>
                <w:rFonts w:ascii="David" w:hAnsi="David" w:cs="David" w:hint="cs"/>
                <w:sz w:val="26"/>
                <w:szCs w:val="26"/>
                <w:rtl/>
              </w:rPr>
              <w:t>תיקון סעיף 11(א)</w:t>
            </w:r>
          </w:p>
        </w:tc>
        <w:tc>
          <w:tcPr>
            <w:tcW w:w="5944" w:type="dxa"/>
          </w:tcPr>
          <w:p w14:paraId="4546B926" w14:textId="6E7DDC31" w:rsidR="001E70C9" w:rsidRPr="001E70C9" w:rsidRDefault="001E70C9" w:rsidP="00146B2F">
            <w:pPr>
              <w:spacing w:line="360" w:lineRule="auto"/>
              <w:ind w:firstLine="0"/>
              <w:rPr>
                <w:rFonts w:ascii="David" w:hAnsi="David" w:cs="David"/>
                <w:sz w:val="26"/>
                <w:szCs w:val="26"/>
                <w:rtl/>
              </w:rPr>
            </w:pPr>
            <w:r w:rsidRPr="001E70C9">
              <w:rPr>
                <w:rFonts w:ascii="David" w:hAnsi="David" w:cs="David" w:hint="cs"/>
                <w:sz w:val="26"/>
                <w:szCs w:val="26"/>
                <w:rtl/>
              </w:rPr>
              <w:t>בסעיף 11(א) לחוק החברות תשנ״ט-1999; בסעיף 11(א) במקום ״וניתן״ יבוא ״ויש״;</w:t>
            </w:r>
          </w:p>
        </w:tc>
      </w:tr>
    </w:tbl>
    <w:p w14:paraId="50C06CB8" w14:textId="77777777" w:rsidR="001E70C9" w:rsidRPr="001E70C9" w:rsidRDefault="001E70C9" w:rsidP="001E70C9">
      <w:pPr>
        <w:spacing w:line="360" w:lineRule="auto"/>
        <w:rPr>
          <w:rFonts w:ascii="David" w:hAnsi="David" w:cs="David"/>
          <w:sz w:val="26"/>
          <w:szCs w:val="26"/>
          <w:rtl/>
        </w:rPr>
      </w:pPr>
    </w:p>
    <w:p w14:paraId="0117BB6B" w14:textId="77777777" w:rsidR="001E70C9" w:rsidRPr="001E70C9" w:rsidRDefault="001E70C9" w:rsidP="001E70C9">
      <w:pPr>
        <w:spacing w:line="360" w:lineRule="auto"/>
        <w:ind w:firstLine="0"/>
        <w:rPr>
          <w:rFonts w:ascii="David" w:hAnsi="David" w:cs="David"/>
          <w:sz w:val="26"/>
          <w:szCs w:val="26"/>
          <w:rtl/>
        </w:rPr>
      </w:pPr>
    </w:p>
    <w:p w14:paraId="1F4599F2" w14:textId="77777777" w:rsidR="001E70C9" w:rsidRPr="001E70C9" w:rsidRDefault="001E70C9" w:rsidP="00B50483">
      <w:pPr>
        <w:spacing w:line="360" w:lineRule="auto"/>
        <w:ind w:firstLine="0"/>
        <w:rPr>
          <w:rFonts w:ascii="David" w:hAnsi="David" w:cs="David"/>
          <w:sz w:val="26"/>
          <w:szCs w:val="26"/>
          <w:rtl/>
        </w:rPr>
      </w:pPr>
    </w:p>
    <w:p w14:paraId="4C2F9D35" w14:textId="77777777" w:rsidR="001E70C9" w:rsidRPr="001E70C9" w:rsidRDefault="001E70C9" w:rsidP="001E70C9">
      <w:pPr>
        <w:spacing w:line="360" w:lineRule="auto"/>
        <w:jc w:val="center"/>
        <w:rPr>
          <w:rFonts w:ascii="David" w:hAnsi="David" w:cs="David"/>
          <w:sz w:val="26"/>
          <w:szCs w:val="26"/>
          <w:rtl/>
        </w:rPr>
      </w:pPr>
      <w:r w:rsidRPr="001E70C9">
        <w:rPr>
          <w:rFonts w:ascii="David" w:hAnsi="David" w:cs="David" w:hint="cs"/>
          <w:sz w:val="26"/>
          <w:szCs w:val="26"/>
          <w:rtl/>
        </w:rPr>
        <w:t>דברי הסבר</w:t>
      </w:r>
    </w:p>
    <w:p w14:paraId="59AECEF6" w14:textId="77777777" w:rsidR="001E70C9" w:rsidRPr="001E70C9" w:rsidRDefault="001E70C9" w:rsidP="001E70C9">
      <w:pPr>
        <w:pStyle w:val="Hesber"/>
        <w:ind w:firstLine="0"/>
        <w:rPr>
          <w:rFonts w:ascii="David" w:hAnsi="David"/>
          <w:sz w:val="26"/>
          <w:rtl/>
        </w:rPr>
      </w:pPr>
      <w:r w:rsidRPr="001E70C9">
        <w:rPr>
          <w:rFonts w:ascii="David" w:hAnsi="David" w:hint="cs"/>
          <w:sz w:val="26"/>
          <w:rtl/>
        </w:rPr>
        <w:t xml:space="preserve">מטרתה של הצעת חוק זו הינה להגדיר בחוק החברות את החיוב של חברות לשקול שיקולים שאינם בהכרח עסקיים של משקיעה. </w:t>
      </w:r>
    </w:p>
    <w:p w14:paraId="2246874A" w14:textId="6F3A29C4" w:rsidR="001E70C9" w:rsidRPr="001E70C9" w:rsidRDefault="001E70C9" w:rsidP="001E70C9">
      <w:pPr>
        <w:pStyle w:val="Hesber"/>
        <w:ind w:firstLine="0"/>
        <w:rPr>
          <w:rFonts w:ascii="David" w:hAnsi="David"/>
          <w:sz w:val="26"/>
          <w:rtl/>
        </w:rPr>
      </w:pPr>
      <w:r w:rsidRPr="001E70C9">
        <w:rPr>
          <w:rFonts w:ascii="David" w:hAnsi="David" w:hint="cs"/>
          <w:sz w:val="26"/>
          <w:rtl/>
        </w:rPr>
        <w:t xml:space="preserve">כיום, חלק גדול מציבור המשקיעים  של החברות </w:t>
      </w:r>
      <w:proofErr w:type="spellStart"/>
      <w:r w:rsidR="00BA3F5B">
        <w:rPr>
          <w:rFonts w:ascii="David" w:hAnsi="David" w:hint="cs"/>
          <w:sz w:val="26"/>
          <w:rtl/>
        </w:rPr>
        <w:t>נוטין</w:t>
      </w:r>
      <w:proofErr w:type="spellEnd"/>
      <w:r w:rsidRPr="001E70C9">
        <w:rPr>
          <w:rFonts w:ascii="David" w:hAnsi="David" w:hint="cs"/>
          <w:sz w:val="26"/>
          <w:rtl/>
        </w:rPr>
        <w:t xml:space="preserve"> לכיוון של השקעות אחראיות אשר לא </w:t>
      </w:r>
      <w:r w:rsidR="00BA3F5B">
        <w:rPr>
          <w:rFonts w:ascii="David" w:hAnsi="David" w:hint="cs"/>
          <w:sz w:val="26"/>
          <w:rtl/>
        </w:rPr>
        <w:t>מערבות</w:t>
      </w:r>
      <w:r w:rsidRPr="001E70C9">
        <w:rPr>
          <w:rFonts w:ascii="David" w:hAnsi="David" w:hint="cs"/>
          <w:sz w:val="26"/>
          <w:rtl/>
        </w:rPr>
        <w:t xml:space="preserve"> פעילות בדלקים פוסלים על כל גווניהם. </w:t>
      </w:r>
    </w:p>
    <w:p w14:paraId="06C0E625" w14:textId="77777777" w:rsidR="001E70C9" w:rsidRPr="001E70C9" w:rsidRDefault="001E70C9" w:rsidP="001E70C9">
      <w:pPr>
        <w:pStyle w:val="Hesber"/>
        <w:ind w:firstLine="0"/>
        <w:rPr>
          <w:rFonts w:ascii="David" w:hAnsi="David"/>
          <w:sz w:val="26"/>
          <w:rtl/>
        </w:rPr>
      </w:pPr>
      <w:r w:rsidRPr="001E70C9">
        <w:rPr>
          <w:rFonts w:ascii="David" w:hAnsi="David" w:hint="cs"/>
          <w:sz w:val="26"/>
          <w:rtl/>
        </w:rPr>
        <w:t xml:space="preserve">על אף שהצעת החוק אינה מחייבת התחשבות בשיקולים סביבתיים בלבד, אלא שמדובר בצעד לכיוון הגדרת שיקולים סביבתיים כחלק מתכליתה של החברה, שכן מרבית המשקיעים כיום מערבים שיקולים ערכיים וסביבתיים בעת ביצוע ההשקעות השונות. </w:t>
      </w:r>
    </w:p>
    <w:p w14:paraId="3149DF20" w14:textId="72D06B21" w:rsidR="001E70C9" w:rsidRDefault="001E70C9" w:rsidP="001E70C9">
      <w:pPr>
        <w:pStyle w:val="Hesber"/>
        <w:ind w:firstLine="0"/>
        <w:rPr>
          <w:rFonts w:ascii="David" w:hAnsi="David"/>
          <w:sz w:val="26"/>
          <w:rtl/>
        </w:rPr>
      </w:pPr>
      <w:r w:rsidRPr="001E70C9">
        <w:rPr>
          <w:rFonts w:ascii="David" w:hAnsi="David" w:hint="cs"/>
          <w:sz w:val="26"/>
          <w:rtl/>
        </w:rPr>
        <w:t xml:space="preserve">הצעת חוק זו הוכנה בצוות מנגנונים כלכליים של קליניקת הכנסת בפקולטה למשפטים של אוניברסיטת תל אביב ע״י אור ברק </w:t>
      </w:r>
      <w:proofErr w:type="spellStart"/>
      <w:r w:rsidRPr="001E70C9">
        <w:rPr>
          <w:rFonts w:ascii="David" w:hAnsi="David" w:hint="cs"/>
          <w:sz w:val="26"/>
          <w:rtl/>
        </w:rPr>
        <w:t>ונאדין</w:t>
      </w:r>
      <w:proofErr w:type="spellEnd"/>
      <w:r w:rsidRPr="001E70C9">
        <w:rPr>
          <w:rFonts w:ascii="David" w:hAnsi="David" w:hint="cs"/>
          <w:sz w:val="26"/>
          <w:rtl/>
        </w:rPr>
        <w:t xml:space="preserve"> </w:t>
      </w:r>
      <w:proofErr w:type="spellStart"/>
      <w:r w:rsidRPr="001E70C9">
        <w:rPr>
          <w:rFonts w:ascii="David" w:hAnsi="David" w:hint="cs"/>
          <w:sz w:val="26"/>
          <w:rtl/>
        </w:rPr>
        <w:t>ותד</w:t>
      </w:r>
      <w:proofErr w:type="spellEnd"/>
      <w:r w:rsidRPr="001E70C9">
        <w:rPr>
          <w:rFonts w:ascii="David" w:hAnsi="David" w:hint="cs"/>
          <w:sz w:val="26"/>
          <w:rtl/>
        </w:rPr>
        <w:t xml:space="preserve">.  </w:t>
      </w:r>
    </w:p>
    <w:p w14:paraId="40AABBC3" w14:textId="70F1FB88" w:rsidR="006E6E64" w:rsidRDefault="006E6E64" w:rsidP="001E70C9">
      <w:pPr>
        <w:pStyle w:val="Hesber"/>
        <w:ind w:firstLine="0"/>
        <w:rPr>
          <w:rFonts w:ascii="David" w:hAnsi="David"/>
          <w:sz w:val="26"/>
          <w:rtl/>
        </w:rPr>
      </w:pPr>
    </w:p>
    <w:p w14:paraId="0E4B8C7E" w14:textId="03596976" w:rsidR="006E6E64" w:rsidRDefault="006E6E64" w:rsidP="001E70C9">
      <w:pPr>
        <w:pStyle w:val="Hesber"/>
        <w:ind w:firstLine="0"/>
        <w:rPr>
          <w:rFonts w:ascii="David" w:hAnsi="David"/>
          <w:sz w:val="26"/>
          <w:rtl/>
        </w:rPr>
      </w:pPr>
    </w:p>
    <w:p w14:paraId="182F8360" w14:textId="71CFB37E" w:rsidR="006E6E64" w:rsidRDefault="006E6E64" w:rsidP="001E70C9">
      <w:pPr>
        <w:pStyle w:val="Hesber"/>
        <w:ind w:firstLine="0"/>
        <w:rPr>
          <w:rFonts w:ascii="David" w:hAnsi="David"/>
          <w:sz w:val="26"/>
          <w:rtl/>
        </w:rPr>
      </w:pPr>
    </w:p>
    <w:p w14:paraId="4825DCC3" w14:textId="6F930592" w:rsidR="006E6E64" w:rsidRDefault="006E6E64" w:rsidP="001E70C9">
      <w:pPr>
        <w:pStyle w:val="Hesber"/>
        <w:ind w:firstLine="0"/>
        <w:rPr>
          <w:rFonts w:ascii="David" w:hAnsi="David"/>
          <w:sz w:val="26"/>
          <w:rtl/>
        </w:rPr>
      </w:pPr>
    </w:p>
    <w:p w14:paraId="76499EFB" w14:textId="01650796" w:rsidR="006E6E64" w:rsidRDefault="006E6E64" w:rsidP="001E70C9">
      <w:pPr>
        <w:pStyle w:val="Hesber"/>
        <w:ind w:firstLine="0"/>
        <w:rPr>
          <w:rFonts w:ascii="David" w:hAnsi="David"/>
          <w:sz w:val="26"/>
          <w:rtl/>
        </w:rPr>
      </w:pPr>
    </w:p>
    <w:p w14:paraId="1BE0B779" w14:textId="16EB565B" w:rsidR="006E6E64" w:rsidRDefault="006E6E64" w:rsidP="001E70C9">
      <w:pPr>
        <w:pStyle w:val="Hesber"/>
        <w:ind w:firstLine="0"/>
        <w:rPr>
          <w:rFonts w:ascii="David" w:hAnsi="David"/>
          <w:sz w:val="26"/>
          <w:rtl/>
        </w:rPr>
      </w:pPr>
    </w:p>
    <w:p w14:paraId="5D5CA548" w14:textId="463D9089" w:rsidR="006E6E64" w:rsidRDefault="006E6E64" w:rsidP="001E70C9">
      <w:pPr>
        <w:pStyle w:val="Hesber"/>
        <w:ind w:firstLine="0"/>
        <w:rPr>
          <w:rFonts w:ascii="David" w:hAnsi="David"/>
          <w:sz w:val="26"/>
          <w:rtl/>
        </w:rPr>
      </w:pPr>
    </w:p>
    <w:p w14:paraId="42DEC3F7" w14:textId="7710BFA8" w:rsidR="006E6E64" w:rsidRDefault="006E6E64" w:rsidP="001E70C9">
      <w:pPr>
        <w:pStyle w:val="Hesber"/>
        <w:ind w:firstLine="0"/>
        <w:rPr>
          <w:rFonts w:ascii="David" w:hAnsi="David"/>
          <w:sz w:val="26"/>
          <w:rtl/>
        </w:rPr>
      </w:pPr>
    </w:p>
    <w:p w14:paraId="58958392" w14:textId="7AE55579" w:rsidR="006E6E64" w:rsidRDefault="006E6E64" w:rsidP="001E70C9">
      <w:pPr>
        <w:pStyle w:val="Hesber"/>
        <w:ind w:firstLine="0"/>
        <w:rPr>
          <w:rFonts w:ascii="David" w:hAnsi="David"/>
          <w:sz w:val="26"/>
          <w:rtl/>
        </w:rPr>
      </w:pPr>
    </w:p>
    <w:p w14:paraId="4B0CF034" w14:textId="4A67CE6F" w:rsidR="006E6E64" w:rsidRDefault="006E6E64" w:rsidP="001E70C9">
      <w:pPr>
        <w:pStyle w:val="Hesber"/>
        <w:ind w:firstLine="0"/>
        <w:rPr>
          <w:rFonts w:ascii="David" w:hAnsi="David"/>
          <w:sz w:val="26"/>
          <w:rtl/>
        </w:rPr>
      </w:pPr>
    </w:p>
    <w:p w14:paraId="0B676679" w14:textId="18D2E3E3" w:rsidR="006E6E64" w:rsidRDefault="006E6E64" w:rsidP="001E70C9">
      <w:pPr>
        <w:pStyle w:val="Hesber"/>
        <w:ind w:firstLine="0"/>
        <w:rPr>
          <w:rFonts w:ascii="David" w:hAnsi="David"/>
          <w:sz w:val="26"/>
          <w:rtl/>
        </w:rPr>
      </w:pPr>
    </w:p>
    <w:p w14:paraId="6D7D2A38" w14:textId="75C98D5E" w:rsidR="006E6E64" w:rsidRDefault="006E6E64" w:rsidP="001E70C9">
      <w:pPr>
        <w:pStyle w:val="Hesber"/>
        <w:ind w:firstLine="0"/>
        <w:rPr>
          <w:rFonts w:ascii="David" w:hAnsi="David"/>
          <w:sz w:val="26"/>
          <w:rtl/>
        </w:rPr>
      </w:pPr>
    </w:p>
    <w:p w14:paraId="5041460F" w14:textId="7329917A" w:rsidR="006E6E64" w:rsidRDefault="006E6E64" w:rsidP="001E70C9">
      <w:pPr>
        <w:pStyle w:val="Hesber"/>
        <w:ind w:firstLine="0"/>
        <w:rPr>
          <w:rFonts w:ascii="David" w:hAnsi="David"/>
          <w:sz w:val="26"/>
          <w:rtl/>
        </w:rPr>
      </w:pPr>
    </w:p>
    <w:p w14:paraId="1CBEE1F8" w14:textId="61EFA941" w:rsidR="006E6E64" w:rsidRDefault="006E6E64" w:rsidP="001E70C9">
      <w:pPr>
        <w:pStyle w:val="Hesber"/>
        <w:ind w:firstLine="0"/>
        <w:rPr>
          <w:rFonts w:ascii="David" w:hAnsi="David"/>
          <w:sz w:val="26"/>
          <w:rtl/>
        </w:rPr>
      </w:pPr>
    </w:p>
    <w:p w14:paraId="423D0B5D" w14:textId="3AE9C614" w:rsidR="006E6E64" w:rsidRDefault="006E6E64" w:rsidP="001E70C9">
      <w:pPr>
        <w:pStyle w:val="Hesber"/>
        <w:ind w:firstLine="0"/>
        <w:rPr>
          <w:rFonts w:ascii="David" w:hAnsi="David"/>
          <w:sz w:val="26"/>
          <w:rtl/>
        </w:rPr>
      </w:pPr>
    </w:p>
    <w:p w14:paraId="3560B832" w14:textId="5A872237" w:rsidR="006E6E64" w:rsidRDefault="006E6E64" w:rsidP="001E70C9">
      <w:pPr>
        <w:pStyle w:val="Hesber"/>
        <w:ind w:firstLine="0"/>
        <w:rPr>
          <w:rFonts w:ascii="David" w:hAnsi="David"/>
          <w:sz w:val="26"/>
          <w:rtl/>
        </w:rPr>
      </w:pPr>
    </w:p>
    <w:p w14:paraId="3D70F275" w14:textId="77777777" w:rsidR="006E6E64" w:rsidRPr="006E6E64" w:rsidRDefault="006E6E64" w:rsidP="006E6E64">
      <w:pPr>
        <w:pStyle w:val="HeadHatzaotHok"/>
        <w:rPr>
          <w:sz w:val="26"/>
          <w:rtl/>
        </w:rPr>
      </w:pPr>
      <w:r w:rsidRPr="006E6E64">
        <w:rPr>
          <w:rFonts w:hint="cs"/>
          <w:sz w:val="26"/>
          <w:rtl/>
        </w:rPr>
        <w:lastRenderedPageBreak/>
        <w:t xml:space="preserve">הצעת חוק האפוטרופוס הכללי (תיקון – שיקולי השקעה סביבתיים), </w:t>
      </w:r>
      <w:proofErr w:type="spellStart"/>
      <w:r w:rsidRPr="006E6E64">
        <w:rPr>
          <w:rFonts w:hint="cs"/>
          <w:sz w:val="26"/>
          <w:rtl/>
        </w:rPr>
        <w:t>התשפ"א</w:t>
      </w:r>
      <w:proofErr w:type="spellEnd"/>
      <w:r w:rsidRPr="006E6E64">
        <w:rPr>
          <w:rFonts w:hint="cs"/>
          <w:sz w:val="26"/>
          <w:rtl/>
        </w:rPr>
        <w:t>–2021</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6E6E64" w:rsidRPr="006E6E64" w14:paraId="02E58FF5" w14:textId="77777777" w:rsidTr="00E619CE">
        <w:trPr>
          <w:cantSplit/>
          <w:trHeight w:val="60"/>
        </w:trPr>
        <w:tc>
          <w:tcPr>
            <w:tcW w:w="1871" w:type="dxa"/>
          </w:tcPr>
          <w:p w14:paraId="31123D0F" w14:textId="77777777" w:rsidR="006E6E64" w:rsidRPr="006E6E64" w:rsidRDefault="006E6E64" w:rsidP="006E6E64">
            <w:pPr>
              <w:pStyle w:val="TableSideHeading"/>
              <w:keepLines w:val="0"/>
              <w:rPr>
                <w:sz w:val="26"/>
                <w:rtl/>
              </w:rPr>
            </w:pPr>
            <w:r w:rsidRPr="006E6E64">
              <w:rPr>
                <w:rFonts w:hint="cs"/>
                <w:sz w:val="26"/>
                <w:rtl/>
              </w:rPr>
              <w:t>תיקון סעיף 1</w:t>
            </w:r>
          </w:p>
        </w:tc>
        <w:tc>
          <w:tcPr>
            <w:tcW w:w="624" w:type="dxa"/>
          </w:tcPr>
          <w:p w14:paraId="23BD3806" w14:textId="77777777" w:rsidR="006E6E64" w:rsidRPr="006E6E64" w:rsidRDefault="006E6E64" w:rsidP="006E6E64">
            <w:pPr>
              <w:pStyle w:val="TableText"/>
              <w:rPr>
                <w:sz w:val="26"/>
                <w:rtl/>
              </w:rPr>
            </w:pPr>
            <w:r w:rsidRPr="006E6E64">
              <w:rPr>
                <w:rFonts w:hint="cs"/>
                <w:sz w:val="26"/>
                <w:rtl/>
              </w:rPr>
              <w:t>2.</w:t>
            </w:r>
          </w:p>
        </w:tc>
        <w:tc>
          <w:tcPr>
            <w:tcW w:w="7146" w:type="dxa"/>
            <w:gridSpan w:val="2"/>
          </w:tcPr>
          <w:p w14:paraId="2D1B1446" w14:textId="77777777" w:rsidR="006E6E64" w:rsidRPr="006E6E64" w:rsidRDefault="006E6E64" w:rsidP="006E6E64">
            <w:pPr>
              <w:tabs>
                <w:tab w:val="left" w:pos="624"/>
                <w:tab w:val="left" w:pos="1247"/>
              </w:tabs>
              <w:snapToGrid w:val="0"/>
              <w:spacing w:before="0" w:line="360" w:lineRule="auto"/>
              <w:ind w:firstLine="0"/>
              <w:rPr>
                <w:rFonts w:ascii="Arial" w:eastAsia="Arial Unicode MS" w:hAnsi="Arial" w:cs="David"/>
                <w:spacing w:val="0"/>
                <w:sz w:val="26"/>
                <w:szCs w:val="26"/>
                <w:rtl/>
              </w:rPr>
            </w:pPr>
            <w:r w:rsidRPr="006E6E64">
              <w:rPr>
                <w:rFonts w:ascii="Arial" w:eastAsia="Arial Unicode MS" w:hAnsi="Arial" w:cs="David"/>
                <w:spacing w:val="0"/>
                <w:sz w:val="26"/>
                <w:szCs w:val="26"/>
                <w:rtl/>
              </w:rPr>
              <w:t>ב</w:t>
            </w:r>
            <w:r w:rsidRPr="006E6E64">
              <w:rPr>
                <w:rFonts w:ascii="Arial" w:eastAsia="Arial Unicode MS" w:hAnsi="Arial" w:cs="David" w:hint="cs"/>
                <w:spacing w:val="0"/>
                <w:sz w:val="26"/>
                <w:szCs w:val="26"/>
                <w:rtl/>
              </w:rPr>
              <w:t>סעיף 1 ל</w:t>
            </w:r>
            <w:r w:rsidRPr="006E6E64">
              <w:rPr>
                <w:rFonts w:ascii="Arial" w:eastAsia="Arial Unicode MS" w:hAnsi="Arial" w:cs="David"/>
                <w:spacing w:val="0"/>
                <w:sz w:val="26"/>
                <w:szCs w:val="26"/>
                <w:rtl/>
              </w:rPr>
              <w:t xml:space="preserve">חוק האפוטרופוס הכללי, </w:t>
            </w:r>
            <w:proofErr w:type="spellStart"/>
            <w:r w:rsidRPr="006E6E64">
              <w:rPr>
                <w:rFonts w:ascii="Arial" w:eastAsia="Arial Unicode MS" w:hAnsi="Arial" w:cs="David"/>
                <w:spacing w:val="0"/>
                <w:sz w:val="26"/>
                <w:szCs w:val="26"/>
                <w:rtl/>
              </w:rPr>
              <w:t>התשל"ח</w:t>
            </w:r>
            <w:proofErr w:type="spellEnd"/>
            <w:r w:rsidRPr="006E6E64">
              <w:rPr>
                <w:rFonts w:ascii="Arial" w:eastAsia="Arial Unicode MS" w:hAnsi="Arial" w:cs="David"/>
                <w:spacing w:val="0"/>
                <w:sz w:val="26"/>
                <w:szCs w:val="26"/>
                <w:rtl/>
              </w:rPr>
              <w:t>–1978</w:t>
            </w:r>
            <w:r w:rsidRPr="006E6E64">
              <w:rPr>
                <w:rFonts w:ascii="Arial" w:eastAsia="Arial Unicode MS" w:hAnsi="Arial" w:cs="David"/>
                <w:spacing w:val="0"/>
                <w:sz w:val="26"/>
                <w:szCs w:val="26"/>
                <w:vertAlign w:val="superscript"/>
                <w:rtl/>
              </w:rPr>
              <w:footnoteReference w:id="22"/>
            </w:r>
            <w:r w:rsidRPr="006E6E64">
              <w:rPr>
                <w:rFonts w:ascii="Arial" w:eastAsia="Arial Unicode MS" w:hAnsi="Arial" w:cs="David"/>
                <w:spacing w:val="0"/>
                <w:sz w:val="26"/>
                <w:szCs w:val="26"/>
                <w:rtl/>
              </w:rPr>
              <w:t>,</w:t>
            </w:r>
            <w:r w:rsidRPr="006E6E64">
              <w:rPr>
                <w:rFonts w:ascii="Arial" w:eastAsia="Arial Unicode MS" w:hAnsi="Arial" w:cs="David" w:hint="cs"/>
                <w:spacing w:val="0"/>
                <w:sz w:val="26"/>
                <w:szCs w:val="26"/>
                <w:rtl/>
              </w:rPr>
              <w:t xml:space="preserve"> (להלן - החוק העיקרי)</w:t>
            </w:r>
            <w:r w:rsidRPr="006E6E64">
              <w:rPr>
                <w:rFonts w:ascii="Arial" w:eastAsia="Arial Unicode MS" w:hAnsi="Arial" w:cs="David"/>
                <w:spacing w:val="0"/>
                <w:sz w:val="26"/>
                <w:szCs w:val="26"/>
                <w:rtl/>
              </w:rPr>
              <w:t xml:space="preserve"> אחרי </w:t>
            </w:r>
            <w:r w:rsidRPr="006E6E64">
              <w:rPr>
                <w:rFonts w:ascii="Arial" w:eastAsia="Arial Unicode MS" w:hAnsi="Arial" w:cs="David" w:hint="cs"/>
                <w:spacing w:val="0"/>
                <w:sz w:val="26"/>
                <w:szCs w:val="26"/>
                <w:rtl/>
              </w:rPr>
              <w:t>ההגדרה "צו ניהול" יבוא</w:t>
            </w:r>
            <w:r w:rsidRPr="006E6E64">
              <w:rPr>
                <w:rFonts w:ascii="Arial" w:eastAsia="Arial Unicode MS" w:hAnsi="Arial" w:cs="David"/>
                <w:spacing w:val="0"/>
                <w:sz w:val="26"/>
                <w:szCs w:val="26"/>
                <w:rtl/>
              </w:rPr>
              <w:t>:</w:t>
            </w:r>
          </w:p>
        </w:tc>
      </w:tr>
      <w:tr w:rsidR="006E6E64" w:rsidRPr="006E6E64" w14:paraId="41F8E572" w14:textId="77777777" w:rsidTr="00E619CE">
        <w:trPr>
          <w:cantSplit/>
          <w:trHeight w:val="60"/>
        </w:trPr>
        <w:tc>
          <w:tcPr>
            <w:tcW w:w="1871" w:type="dxa"/>
          </w:tcPr>
          <w:p w14:paraId="3BD06B44" w14:textId="77777777" w:rsidR="006E6E64" w:rsidRPr="006E6E64" w:rsidRDefault="006E6E64" w:rsidP="006E6E64">
            <w:pPr>
              <w:pStyle w:val="TableSideHeading"/>
              <w:rPr>
                <w:sz w:val="26"/>
                <w:rtl/>
              </w:rPr>
            </w:pPr>
          </w:p>
        </w:tc>
        <w:tc>
          <w:tcPr>
            <w:tcW w:w="624" w:type="dxa"/>
          </w:tcPr>
          <w:p w14:paraId="45AFF190" w14:textId="77777777" w:rsidR="006E6E64" w:rsidRPr="006E6E64" w:rsidRDefault="006E6E64" w:rsidP="006E6E64">
            <w:pPr>
              <w:pStyle w:val="TableText"/>
              <w:jc w:val="both"/>
              <w:rPr>
                <w:sz w:val="26"/>
                <w:rtl/>
              </w:rPr>
            </w:pPr>
          </w:p>
        </w:tc>
        <w:tc>
          <w:tcPr>
            <w:tcW w:w="624" w:type="dxa"/>
          </w:tcPr>
          <w:p w14:paraId="09D2F456" w14:textId="77777777" w:rsidR="006E6E64" w:rsidRPr="006E6E64" w:rsidRDefault="006E6E64" w:rsidP="006E6E64">
            <w:pPr>
              <w:pStyle w:val="TableText"/>
              <w:jc w:val="both"/>
              <w:rPr>
                <w:sz w:val="26"/>
                <w:rtl/>
              </w:rPr>
            </w:pPr>
          </w:p>
        </w:tc>
        <w:tc>
          <w:tcPr>
            <w:tcW w:w="6522" w:type="dxa"/>
          </w:tcPr>
          <w:p w14:paraId="7CF4449B" w14:textId="77777777" w:rsidR="006E6E64" w:rsidRPr="006E6E64" w:rsidRDefault="006E6E64" w:rsidP="006E6E64">
            <w:pPr>
              <w:pStyle w:val="TableBlock"/>
              <w:rPr>
                <w:sz w:val="26"/>
                <w:rtl/>
              </w:rPr>
            </w:pPr>
            <w:r w:rsidRPr="006E6E64">
              <w:rPr>
                <w:rFonts w:hint="cs"/>
                <w:sz w:val="26"/>
                <w:rtl/>
              </w:rPr>
              <w:t>"סיכונים סביבתיים" – הסיכון להשפעה על הרווח והפסד כתוצאה מהוראות הנוגעות לאיכות הסביבה ואכיפתן, היכולות להתממש באם תישא החברה באחריות ישירה למפגע סביבתי;</w:t>
            </w:r>
          </w:p>
        </w:tc>
      </w:tr>
      <w:tr w:rsidR="006E6E64" w:rsidRPr="006E6E64" w14:paraId="74EF0756" w14:textId="77777777" w:rsidTr="00E619CE">
        <w:trPr>
          <w:cantSplit/>
          <w:trHeight w:val="60"/>
        </w:trPr>
        <w:tc>
          <w:tcPr>
            <w:tcW w:w="1871" w:type="dxa"/>
          </w:tcPr>
          <w:p w14:paraId="04871910" w14:textId="77777777" w:rsidR="006E6E64" w:rsidRPr="006E6E64" w:rsidRDefault="006E6E64" w:rsidP="006E6E64">
            <w:pPr>
              <w:pStyle w:val="TableSideHeading"/>
              <w:rPr>
                <w:sz w:val="26"/>
                <w:rtl/>
              </w:rPr>
            </w:pPr>
          </w:p>
        </w:tc>
        <w:tc>
          <w:tcPr>
            <w:tcW w:w="624" w:type="dxa"/>
          </w:tcPr>
          <w:p w14:paraId="4DD93BB3" w14:textId="77777777" w:rsidR="006E6E64" w:rsidRPr="006E6E64" w:rsidRDefault="006E6E64" w:rsidP="006E6E64">
            <w:pPr>
              <w:pStyle w:val="TableText"/>
              <w:rPr>
                <w:sz w:val="26"/>
                <w:rtl/>
              </w:rPr>
            </w:pPr>
          </w:p>
        </w:tc>
        <w:tc>
          <w:tcPr>
            <w:tcW w:w="624" w:type="dxa"/>
          </w:tcPr>
          <w:p w14:paraId="21D42768" w14:textId="77777777" w:rsidR="006E6E64" w:rsidRPr="006E6E64" w:rsidRDefault="006E6E64" w:rsidP="006E6E64">
            <w:pPr>
              <w:pStyle w:val="TableText"/>
              <w:jc w:val="both"/>
              <w:rPr>
                <w:sz w:val="26"/>
                <w:rtl/>
              </w:rPr>
            </w:pPr>
          </w:p>
        </w:tc>
        <w:tc>
          <w:tcPr>
            <w:tcW w:w="6522" w:type="dxa"/>
          </w:tcPr>
          <w:p w14:paraId="62F89167" w14:textId="77777777" w:rsidR="006E6E64" w:rsidRPr="006E6E64" w:rsidRDefault="006E6E64" w:rsidP="006E6E64">
            <w:pPr>
              <w:pStyle w:val="TableBlock"/>
              <w:rPr>
                <w:sz w:val="26"/>
                <w:rtl/>
              </w:rPr>
            </w:pPr>
            <w:r w:rsidRPr="006E6E64">
              <w:rPr>
                <w:rFonts w:hint="cs"/>
                <w:sz w:val="26"/>
                <w:rtl/>
              </w:rPr>
              <w:t>"עלויות סביבתיות" – עלויות והשקעות שבהן נשא או צפוי לשאת התאגיד בשל פעולות שננקטו או שצפויות להינקט על ידו או על ידי מי מטעמו או על ידי צד שלישי בעבורו בקשר עם הטיפול בסיכונים הסביבתיים של התאגיד;</w:t>
            </w:r>
          </w:p>
        </w:tc>
      </w:tr>
      <w:tr w:rsidR="006E6E64" w:rsidRPr="006E6E64" w14:paraId="3FF69F2E" w14:textId="77777777" w:rsidTr="00E619CE">
        <w:trPr>
          <w:cantSplit/>
          <w:trHeight w:val="60"/>
        </w:trPr>
        <w:tc>
          <w:tcPr>
            <w:tcW w:w="1871" w:type="dxa"/>
          </w:tcPr>
          <w:p w14:paraId="10F9762A" w14:textId="77777777" w:rsidR="006E6E64" w:rsidRPr="006E6E64" w:rsidRDefault="006E6E64" w:rsidP="006E6E64">
            <w:pPr>
              <w:pStyle w:val="TableSideHeading"/>
              <w:keepLines w:val="0"/>
              <w:rPr>
                <w:sz w:val="26"/>
              </w:rPr>
            </w:pPr>
            <w:r w:rsidRPr="006E6E64">
              <w:rPr>
                <w:rFonts w:hint="cs"/>
                <w:sz w:val="26"/>
                <w:rtl/>
              </w:rPr>
              <w:t>תיקון סעיף 10ג</w:t>
            </w:r>
          </w:p>
        </w:tc>
        <w:tc>
          <w:tcPr>
            <w:tcW w:w="624" w:type="dxa"/>
          </w:tcPr>
          <w:p w14:paraId="4D36EFEA" w14:textId="77777777" w:rsidR="006E6E64" w:rsidRPr="006E6E64" w:rsidRDefault="006E6E64" w:rsidP="006E6E64">
            <w:pPr>
              <w:pStyle w:val="TableText"/>
              <w:keepLines w:val="0"/>
              <w:tabs>
                <w:tab w:val="clear" w:pos="624"/>
              </w:tabs>
              <w:rPr>
                <w:sz w:val="26"/>
              </w:rPr>
            </w:pPr>
            <w:r w:rsidRPr="006E6E64">
              <w:rPr>
                <w:rFonts w:hint="cs"/>
                <w:sz w:val="26"/>
                <w:rtl/>
              </w:rPr>
              <w:t>3.</w:t>
            </w:r>
          </w:p>
        </w:tc>
        <w:tc>
          <w:tcPr>
            <w:tcW w:w="7146" w:type="dxa"/>
            <w:gridSpan w:val="2"/>
          </w:tcPr>
          <w:p w14:paraId="4F9EC8DC" w14:textId="77777777" w:rsidR="006E6E64" w:rsidRPr="006E6E64" w:rsidRDefault="006E6E64" w:rsidP="006E6E64">
            <w:pPr>
              <w:pStyle w:val="TableBlock"/>
              <w:keepLines w:val="0"/>
              <w:rPr>
                <w:sz w:val="26"/>
                <w:rtl/>
              </w:rPr>
            </w:pPr>
            <w:r w:rsidRPr="006E6E64">
              <w:rPr>
                <w:rFonts w:hint="cs"/>
                <w:sz w:val="26"/>
                <w:rtl/>
              </w:rPr>
              <w:t xml:space="preserve">בסעיף 10ג לחוק העיקרי </w:t>
            </w:r>
            <w:r w:rsidRPr="006E6E64">
              <w:rPr>
                <w:sz w:val="26"/>
                <w:rtl/>
              </w:rPr>
              <w:t>–</w:t>
            </w:r>
            <w:r w:rsidRPr="006E6E64">
              <w:rPr>
                <w:rFonts w:hint="cs"/>
                <w:sz w:val="26"/>
                <w:rtl/>
              </w:rPr>
              <w:t xml:space="preserve"> </w:t>
            </w:r>
          </w:p>
          <w:p w14:paraId="198C8C7F" w14:textId="77777777" w:rsidR="006E6E64" w:rsidRPr="006E6E64" w:rsidRDefault="006E6E64" w:rsidP="006E6E64">
            <w:pPr>
              <w:pStyle w:val="TableBlock"/>
              <w:keepLines w:val="0"/>
              <w:rPr>
                <w:sz w:val="26"/>
              </w:rPr>
            </w:pPr>
            <w:r w:rsidRPr="006E6E64">
              <w:rPr>
                <w:rFonts w:hint="cs"/>
                <w:sz w:val="26"/>
                <w:rtl/>
              </w:rPr>
              <w:t>בסעיף 10ג, לאחר "שנקבעו בתקנות אלה", יבוא "לרבות שיקולים הכוללים סיכונים סביבתיים ועלויות סביבתיות".</w:t>
            </w:r>
          </w:p>
        </w:tc>
      </w:tr>
      <w:tr w:rsidR="006E6E64" w:rsidRPr="006E6E64" w14:paraId="5BF37E4B" w14:textId="77777777" w:rsidTr="00E619CE">
        <w:trPr>
          <w:gridAfter w:val="2"/>
          <w:wAfter w:w="7146" w:type="dxa"/>
          <w:cantSplit/>
          <w:trHeight w:val="60"/>
        </w:trPr>
        <w:tc>
          <w:tcPr>
            <w:tcW w:w="1871" w:type="dxa"/>
          </w:tcPr>
          <w:p w14:paraId="734586A4" w14:textId="77777777" w:rsidR="006E6E64" w:rsidRPr="006E6E64" w:rsidRDefault="006E6E64" w:rsidP="006E6E64">
            <w:pPr>
              <w:pStyle w:val="TableSideHeading"/>
              <w:keepLines w:val="0"/>
              <w:rPr>
                <w:sz w:val="26"/>
                <w:rtl/>
              </w:rPr>
            </w:pPr>
          </w:p>
        </w:tc>
        <w:tc>
          <w:tcPr>
            <w:tcW w:w="624" w:type="dxa"/>
          </w:tcPr>
          <w:p w14:paraId="4D4B471A" w14:textId="77777777" w:rsidR="006E6E64" w:rsidRPr="006E6E64" w:rsidRDefault="006E6E64" w:rsidP="006E6E64">
            <w:pPr>
              <w:pStyle w:val="TableText"/>
              <w:rPr>
                <w:sz w:val="26"/>
                <w:rtl/>
              </w:rPr>
            </w:pPr>
          </w:p>
        </w:tc>
      </w:tr>
    </w:tbl>
    <w:p w14:paraId="2740F8E3" w14:textId="77777777" w:rsidR="006E6E64" w:rsidRPr="006E6E64" w:rsidRDefault="006E6E64" w:rsidP="006E6E64">
      <w:pPr>
        <w:pStyle w:val="HeadDivreiHesber"/>
        <w:jc w:val="both"/>
        <w:rPr>
          <w:sz w:val="26"/>
          <w:rtl/>
        </w:rPr>
      </w:pPr>
    </w:p>
    <w:p w14:paraId="0298D6B0" w14:textId="77777777" w:rsidR="006E6E64" w:rsidRPr="006E6E64" w:rsidRDefault="006E6E64" w:rsidP="006E6E64">
      <w:pPr>
        <w:pStyle w:val="HeadDivreiHesber"/>
        <w:rPr>
          <w:sz w:val="26"/>
          <w:rtl/>
        </w:rPr>
      </w:pPr>
      <w:r w:rsidRPr="006E6E64">
        <w:rPr>
          <w:rFonts w:hint="cs"/>
          <w:sz w:val="26"/>
          <w:rtl/>
        </w:rPr>
        <w:t>דברי הסבר</w:t>
      </w:r>
    </w:p>
    <w:p w14:paraId="3C70D695" w14:textId="77777777" w:rsidR="006E6E64" w:rsidRPr="006E6E64" w:rsidRDefault="006E6E64" w:rsidP="006E6E64">
      <w:pPr>
        <w:snapToGrid w:val="0"/>
        <w:spacing w:before="0" w:line="360" w:lineRule="auto"/>
        <w:ind w:firstLine="0"/>
        <w:rPr>
          <w:rFonts w:ascii="Arial" w:eastAsia="Arial Unicode MS" w:hAnsi="Arial" w:cs="David"/>
          <w:spacing w:val="0"/>
          <w:sz w:val="26"/>
          <w:szCs w:val="26"/>
          <w:rtl/>
        </w:rPr>
      </w:pPr>
      <w:r w:rsidRPr="006E6E64">
        <w:rPr>
          <w:rFonts w:ascii="Arial" w:eastAsia="Arial Unicode MS" w:hAnsi="Arial" w:cs="David" w:hint="cs"/>
          <w:spacing w:val="0"/>
          <w:sz w:val="26"/>
          <w:szCs w:val="26"/>
          <w:rtl/>
        </w:rPr>
        <w:t xml:space="preserve">בשנים האחרונות ניכר עניין רב בקרב משקיעים בשוקי הון בעולם בתחום ההשקעות האחריות ומתן דגש גדול יותר לשיקולי סביבה. כמה מגופי ההשקעות הגדולים, בעיקר גופים מוסדיים ופיננסים מובילים, החלו לשלב השקעות עם אוריינטציה חיובית להיבטי סביבה, ולצידם תאגידים שונים החלו להקדיש משאבים גדולים יותר להתחשבות בהיבטים אלו בפעילותם. </w:t>
      </w:r>
    </w:p>
    <w:p w14:paraId="4FE4F842" w14:textId="77777777" w:rsidR="006E6E64" w:rsidRPr="006E6E64" w:rsidRDefault="006E6E64" w:rsidP="006E6E64">
      <w:pPr>
        <w:snapToGrid w:val="0"/>
        <w:spacing w:before="0" w:line="360" w:lineRule="auto"/>
        <w:ind w:firstLine="0"/>
        <w:rPr>
          <w:rFonts w:ascii="Arial" w:eastAsia="Arial Unicode MS" w:hAnsi="Arial" w:cs="David"/>
          <w:spacing w:val="0"/>
          <w:sz w:val="26"/>
          <w:szCs w:val="26"/>
          <w:rtl/>
        </w:rPr>
      </w:pPr>
    </w:p>
    <w:p w14:paraId="1E14DC90" w14:textId="77777777" w:rsidR="006E6E64" w:rsidRPr="006E6E64" w:rsidRDefault="006E6E64" w:rsidP="006E6E64">
      <w:pPr>
        <w:snapToGrid w:val="0"/>
        <w:spacing w:before="0" w:line="360" w:lineRule="auto"/>
        <w:ind w:firstLine="0"/>
        <w:rPr>
          <w:rFonts w:ascii="Arial" w:eastAsia="Arial Unicode MS" w:hAnsi="Arial" w:cs="David"/>
          <w:spacing w:val="0"/>
          <w:sz w:val="26"/>
          <w:szCs w:val="26"/>
          <w:rtl/>
        </w:rPr>
      </w:pPr>
      <w:r w:rsidRPr="006E6E64">
        <w:rPr>
          <w:rFonts w:ascii="Arial" w:eastAsia="Arial Unicode MS" w:hAnsi="Arial" w:cs="David" w:hint="cs"/>
          <w:spacing w:val="0"/>
          <w:sz w:val="26"/>
          <w:szCs w:val="26"/>
          <w:rtl/>
        </w:rPr>
        <w:t xml:space="preserve">בהתאם לאמור, סעיף 50 לחוק הכשרות המשפטית והאפוטרופסות קובע כי כספי האדם שמונה לו אפוטרופוס, במידה שאינם דרושים לו לצרכיו השוטפים, יוחזקו ויושקעו על ידי האפוטרופוס כדרוש, לשם שמירת הקרן והבטחת הפירות. הניהול הכספי מחולק ל11 קרנות, אשר מנהלות יחדיו קרוב לכ-8 מיליארד ש"ח, והגוף האמון לכך הוא יחידת ההשקעות אשר פועלת בהתאם למדיניות שמתווה לה ועדת ההשקעות של האפוטרופוס הכללי. ועדת ההשקעות היא ועדת סטטוטורית, הפועלת מכוח סעיף 10 לחוק האפוטרופוס הכללי, התשל"ח-1978. יחידה ההשקעות פועלת בשוק ההון באמצעות שני בנקים </w:t>
      </w:r>
      <w:r w:rsidRPr="006E6E64">
        <w:rPr>
          <w:rFonts w:ascii="Arial" w:eastAsia="Arial Unicode MS" w:hAnsi="Arial" w:cs="David"/>
          <w:spacing w:val="0"/>
          <w:sz w:val="26"/>
          <w:szCs w:val="26"/>
          <w:rtl/>
        </w:rPr>
        <w:t>–</w:t>
      </w:r>
      <w:r w:rsidRPr="006E6E64">
        <w:rPr>
          <w:rFonts w:ascii="Arial" w:eastAsia="Arial Unicode MS" w:hAnsi="Arial" w:cs="David" w:hint="cs"/>
          <w:spacing w:val="0"/>
          <w:sz w:val="26"/>
          <w:szCs w:val="26"/>
          <w:rtl/>
        </w:rPr>
        <w:t xml:space="preserve"> "לאומי" ו"מזרחי-טפחות", על בסיס שוטף ובאמצעות ברוקרים מבתי השקעות לצורך "עסקאות קאסטודיאן", ומטרתה של ההשקעה היא להניב את התשואה האופטימלית </w:t>
      </w:r>
      <w:r w:rsidRPr="006E6E64">
        <w:rPr>
          <w:rFonts w:ascii="Arial" w:eastAsia="Arial Unicode MS" w:hAnsi="Arial" w:cs="David" w:hint="cs"/>
          <w:spacing w:val="0"/>
          <w:sz w:val="26"/>
          <w:szCs w:val="26"/>
          <w:rtl/>
        </w:rPr>
        <w:lastRenderedPageBreak/>
        <w:t>בהתאם לרמת הסיכון שנקבעה.</w:t>
      </w:r>
    </w:p>
    <w:p w14:paraId="215E38F6" w14:textId="77777777" w:rsidR="006E6E64" w:rsidRPr="006E6E64" w:rsidRDefault="006E6E64" w:rsidP="006E6E64">
      <w:pPr>
        <w:snapToGrid w:val="0"/>
        <w:spacing w:before="0" w:line="360" w:lineRule="auto"/>
        <w:ind w:firstLine="0"/>
        <w:rPr>
          <w:rFonts w:ascii="Arial" w:eastAsia="Arial Unicode MS" w:hAnsi="Arial" w:cs="David"/>
          <w:spacing w:val="0"/>
          <w:sz w:val="26"/>
          <w:szCs w:val="26"/>
          <w:rtl/>
        </w:rPr>
      </w:pPr>
    </w:p>
    <w:p w14:paraId="36BBF522" w14:textId="2CFF870E" w:rsidR="006E6E64" w:rsidRDefault="006E6E64" w:rsidP="006E6E64">
      <w:pPr>
        <w:snapToGrid w:val="0"/>
        <w:spacing w:before="0" w:line="360" w:lineRule="auto"/>
        <w:ind w:firstLine="0"/>
        <w:rPr>
          <w:rFonts w:ascii="Arial" w:eastAsia="Arial Unicode MS" w:hAnsi="Arial" w:cs="David"/>
          <w:spacing w:val="0"/>
          <w:sz w:val="26"/>
          <w:szCs w:val="26"/>
          <w:rtl/>
        </w:rPr>
      </w:pPr>
      <w:r w:rsidRPr="006E6E64">
        <w:rPr>
          <w:rFonts w:ascii="Arial" w:eastAsia="Arial Unicode MS" w:hAnsi="Arial" w:cs="David" w:hint="cs"/>
          <w:spacing w:val="0"/>
          <w:sz w:val="26"/>
          <w:szCs w:val="26"/>
          <w:rtl/>
        </w:rPr>
        <w:t>מטרתה של הצעת חוק זו היא להבטיח כי יחידת ההשקעות של קרן האפוטרופו</w:t>
      </w:r>
      <w:r w:rsidRPr="006E6E64">
        <w:rPr>
          <w:rFonts w:ascii="Arial" w:eastAsia="Arial Unicode MS" w:hAnsi="Arial" w:cs="David" w:hint="eastAsia"/>
          <w:spacing w:val="0"/>
          <w:sz w:val="26"/>
          <w:szCs w:val="26"/>
          <w:rtl/>
        </w:rPr>
        <w:t>ס</w:t>
      </w:r>
      <w:r w:rsidRPr="006E6E64">
        <w:rPr>
          <w:rFonts w:ascii="Arial" w:eastAsia="Arial Unicode MS" w:hAnsi="Arial" w:cs="David" w:hint="cs"/>
          <w:spacing w:val="0"/>
          <w:sz w:val="26"/>
          <w:szCs w:val="26"/>
          <w:rtl/>
        </w:rPr>
        <w:t xml:space="preserve"> הכללי תיקח במסגרת מדיניות השקעה שלה גם שיקולים סביבתיים, כמפורט בהצעה זו, וכי מדיניות שכזו תשמש בסיס עבור המשקיעים המוסדיים המקומיי</w:t>
      </w:r>
      <w:r w:rsidRPr="006E6E64">
        <w:rPr>
          <w:rFonts w:ascii="Arial" w:eastAsia="Arial Unicode MS" w:hAnsi="Arial" w:cs="David" w:hint="eastAsia"/>
          <w:spacing w:val="0"/>
          <w:sz w:val="26"/>
          <w:szCs w:val="26"/>
          <w:rtl/>
        </w:rPr>
        <w:t>ם</w:t>
      </w:r>
      <w:r w:rsidRPr="006E6E64">
        <w:rPr>
          <w:rFonts w:ascii="Arial" w:eastAsia="Arial Unicode MS" w:hAnsi="Arial" w:cs="David" w:hint="cs"/>
          <w:spacing w:val="0"/>
          <w:sz w:val="26"/>
          <w:szCs w:val="26"/>
          <w:rtl/>
        </w:rPr>
        <w:t>, ובכך תקדם את התפתחות</w:t>
      </w:r>
      <w:r w:rsidRPr="006E6E64">
        <w:rPr>
          <w:rFonts w:ascii="Arial" w:eastAsia="Arial Unicode MS" w:hAnsi="Arial" w:cs="David" w:hint="eastAsia"/>
          <w:spacing w:val="0"/>
          <w:sz w:val="26"/>
          <w:szCs w:val="26"/>
          <w:rtl/>
        </w:rPr>
        <w:t>ו</w:t>
      </w:r>
      <w:r w:rsidRPr="006E6E64">
        <w:rPr>
          <w:rFonts w:ascii="Arial" w:eastAsia="Arial Unicode MS" w:hAnsi="Arial" w:cs="David" w:hint="cs"/>
          <w:spacing w:val="0"/>
          <w:sz w:val="26"/>
          <w:szCs w:val="26"/>
          <w:rtl/>
        </w:rPr>
        <w:t xml:space="preserve"> של שוק ההון הישראלי, בדומה לשוקי ההון המתקדמים בעולם, אשר קובעים מדיניות השקעה ביחס לשיקולי סביבה.  </w:t>
      </w:r>
    </w:p>
    <w:p w14:paraId="5ACDCAAB" w14:textId="77777777" w:rsidR="00390007" w:rsidRPr="00D23B84" w:rsidRDefault="00390007" w:rsidP="00390007">
      <w:pPr>
        <w:pStyle w:val="Hesber"/>
        <w:ind w:firstLine="0"/>
        <w:rPr>
          <w:rtl/>
        </w:rPr>
      </w:pPr>
      <w:r>
        <w:rPr>
          <w:rFonts w:hint="cs"/>
          <w:rtl/>
        </w:rPr>
        <w:t xml:space="preserve">הצעת חוק זו הוכנה בצוות מנגנונים כלכליים של קליניקת הכנסת בפקולטה למשפטים של אוניברסיטת תל אביב ע״י אור ברק </w:t>
      </w:r>
      <w:proofErr w:type="spellStart"/>
      <w:r>
        <w:rPr>
          <w:rFonts w:hint="cs"/>
          <w:rtl/>
        </w:rPr>
        <w:t>ונאדין</w:t>
      </w:r>
      <w:proofErr w:type="spellEnd"/>
      <w:r>
        <w:rPr>
          <w:rFonts w:hint="cs"/>
          <w:rtl/>
        </w:rPr>
        <w:t xml:space="preserve"> </w:t>
      </w:r>
      <w:proofErr w:type="spellStart"/>
      <w:r>
        <w:rPr>
          <w:rFonts w:hint="cs"/>
          <w:rtl/>
        </w:rPr>
        <w:t>ותד</w:t>
      </w:r>
      <w:proofErr w:type="spellEnd"/>
      <w:r>
        <w:rPr>
          <w:rFonts w:hint="cs"/>
          <w:rtl/>
        </w:rPr>
        <w:t xml:space="preserve">.  </w:t>
      </w:r>
    </w:p>
    <w:p w14:paraId="61ECF708" w14:textId="77777777" w:rsidR="00390007" w:rsidRPr="006E6E64" w:rsidRDefault="00390007" w:rsidP="006E6E64">
      <w:pPr>
        <w:snapToGrid w:val="0"/>
        <w:spacing w:before="0" w:line="360" w:lineRule="auto"/>
        <w:ind w:firstLine="0"/>
        <w:rPr>
          <w:rFonts w:ascii="Arial" w:eastAsia="Arial Unicode MS" w:hAnsi="Arial" w:cs="David"/>
          <w:spacing w:val="0"/>
          <w:sz w:val="26"/>
          <w:szCs w:val="26"/>
          <w:rtl/>
        </w:rPr>
      </w:pPr>
    </w:p>
    <w:p w14:paraId="23598C88" w14:textId="77777777" w:rsidR="006E6E64" w:rsidRPr="006E6E64" w:rsidRDefault="006E6E64" w:rsidP="006E6E64">
      <w:pPr>
        <w:pStyle w:val="Hesber"/>
        <w:ind w:firstLine="0"/>
        <w:rPr>
          <w:rFonts w:ascii="David" w:hAnsi="David"/>
          <w:sz w:val="26"/>
          <w:rtl/>
        </w:rPr>
      </w:pPr>
    </w:p>
    <w:p w14:paraId="7F585DB0" w14:textId="77777777" w:rsidR="001E70C9" w:rsidRPr="006E6E64" w:rsidRDefault="001E70C9" w:rsidP="006E6E64">
      <w:pPr>
        <w:pStyle w:val="Hesber"/>
        <w:rPr>
          <w:rFonts w:ascii="David" w:hAnsi="David"/>
          <w:sz w:val="26"/>
          <w:rtl/>
        </w:rPr>
      </w:pPr>
    </w:p>
    <w:p w14:paraId="2FE76ACB" w14:textId="77777777" w:rsidR="00D0091E" w:rsidRPr="0007248B" w:rsidRDefault="00D0091E" w:rsidP="00D0091E">
      <w:pPr>
        <w:pStyle w:val="Hesber"/>
        <w:ind w:firstLine="0"/>
        <w:rPr>
          <w:rFonts w:ascii="David" w:hAnsi="David"/>
          <w:sz w:val="26"/>
          <w:rtl/>
        </w:rPr>
      </w:pPr>
    </w:p>
    <w:p w14:paraId="74C66EFD" w14:textId="77777777" w:rsidR="00362F1B" w:rsidRPr="00E56367" w:rsidRDefault="00362F1B" w:rsidP="00362F1B">
      <w:pPr>
        <w:spacing w:line="360" w:lineRule="auto"/>
        <w:rPr>
          <w:rFonts w:ascii="David" w:hAnsi="David" w:cs="David"/>
          <w:sz w:val="26"/>
          <w:szCs w:val="26"/>
          <w:rtl/>
        </w:rPr>
      </w:pPr>
    </w:p>
    <w:p w14:paraId="7B9CDD43" w14:textId="77777777" w:rsidR="00362F1B" w:rsidRDefault="00362F1B" w:rsidP="00362F1B">
      <w:pPr>
        <w:spacing w:line="360" w:lineRule="auto"/>
        <w:rPr>
          <w:rtl/>
        </w:rPr>
      </w:pPr>
    </w:p>
    <w:p w14:paraId="0B532F38" w14:textId="77777777" w:rsidR="00362F1B" w:rsidRPr="00CF6837" w:rsidRDefault="00362F1B" w:rsidP="00CF6837">
      <w:pPr>
        <w:pStyle w:val="Hesber"/>
        <w:ind w:firstLine="0"/>
        <w:rPr>
          <w:rFonts w:ascii="David" w:hAnsi="David"/>
          <w:sz w:val="26"/>
          <w:rtl/>
        </w:rPr>
      </w:pPr>
    </w:p>
    <w:p w14:paraId="704D8A30" w14:textId="77777777" w:rsidR="0062275F" w:rsidRPr="0062275F" w:rsidRDefault="0062275F"/>
    <w:sectPr w:rsidR="0062275F" w:rsidRPr="0062275F" w:rsidSect="007B67F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0546" w14:textId="77777777" w:rsidR="00A40FF0" w:rsidRDefault="00A40FF0" w:rsidP="0062275F">
      <w:pPr>
        <w:spacing w:before="0" w:line="240" w:lineRule="auto"/>
      </w:pPr>
      <w:r>
        <w:separator/>
      </w:r>
    </w:p>
  </w:endnote>
  <w:endnote w:type="continuationSeparator" w:id="0">
    <w:p w14:paraId="029DC9A1" w14:textId="77777777" w:rsidR="00A40FF0" w:rsidRDefault="00A40FF0" w:rsidP="006227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8933172"/>
      <w:docPartObj>
        <w:docPartGallery w:val="Page Numbers (Bottom of Page)"/>
        <w:docPartUnique/>
      </w:docPartObj>
    </w:sdtPr>
    <w:sdtEndPr>
      <w:rPr>
        <w:rStyle w:val="PageNumber"/>
      </w:rPr>
    </w:sdtEndPr>
    <w:sdtContent>
      <w:p w14:paraId="2810CEC8" w14:textId="61226456" w:rsidR="00F74ED0" w:rsidRDefault="00F74ED0" w:rsidP="008310F4">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8F08E21" w14:textId="77777777" w:rsidR="009D2BC6" w:rsidRDefault="009D2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880438777"/>
      <w:docPartObj>
        <w:docPartGallery w:val="Page Numbers (Bottom of Page)"/>
        <w:docPartUnique/>
      </w:docPartObj>
    </w:sdtPr>
    <w:sdtEndPr>
      <w:rPr>
        <w:rStyle w:val="PageNumber"/>
      </w:rPr>
    </w:sdtEndPr>
    <w:sdtContent>
      <w:p w14:paraId="097157F0" w14:textId="3CC8DF71" w:rsidR="00F74ED0" w:rsidRDefault="00F74ED0" w:rsidP="008310F4">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3</w:t>
        </w:r>
        <w:r>
          <w:rPr>
            <w:rStyle w:val="PageNumber"/>
            <w:rtl/>
          </w:rPr>
          <w:fldChar w:fldCharType="end"/>
        </w:r>
      </w:p>
    </w:sdtContent>
  </w:sdt>
  <w:p w14:paraId="74EDCE83" w14:textId="77777777" w:rsidR="009D2BC6" w:rsidRDefault="009D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146C" w14:textId="77777777" w:rsidR="009D2BC6" w:rsidRDefault="009D2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C16D" w14:textId="77777777" w:rsidR="00A40FF0" w:rsidRDefault="00A40FF0" w:rsidP="0062275F">
      <w:pPr>
        <w:spacing w:before="0" w:line="240" w:lineRule="auto"/>
      </w:pPr>
      <w:r>
        <w:separator/>
      </w:r>
    </w:p>
  </w:footnote>
  <w:footnote w:type="continuationSeparator" w:id="0">
    <w:p w14:paraId="70DB1955" w14:textId="77777777" w:rsidR="00A40FF0" w:rsidRDefault="00A40FF0" w:rsidP="0062275F">
      <w:pPr>
        <w:spacing w:before="0" w:line="240" w:lineRule="auto"/>
      </w:pPr>
      <w:r>
        <w:continuationSeparator/>
      </w:r>
    </w:p>
  </w:footnote>
  <w:footnote w:id="1">
    <w:p w14:paraId="02308107" w14:textId="77777777" w:rsidR="00925F33" w:rsidRDefault="00925F33" w:rsidP="00925F33">
      <w:pPr>
        <w:pStyle w:val="FootnoteText"/>
        <w:spacing w:line="360" w:lineRule="auto"/>
        <w:rPr>
          <w:rtl/>
        </w:rPr>
      </w:pPr>
      <w:r>
        <w:rPr>
          <w:rStyle w:val="FootnoteReference"/>
        </w:rPr>
        <w:footnoteRef/>
      </w:r>
      <w:r>
        <w:t xml:space="preserve"> IPCC, 2018: Global Warming of 1.5°C. Summary for policymaker of the Intergovernmental Panel on Climate (IPCC), Geneva, Switzerland.</w:t>
      </w:r>
    </w:p>
  </w:footnote>
  <w:footnote w:id="2">
    <w:p w14:paraId="19D28FD6" w14:textId="77777777" w:rsidR="00925F33" w:rsidRDefault="00925F33" w:rsidP="00925F33">
      <w:pPr>
        <w:pStyle w:val="FootnoteText"/>
        <w:spacing w:line="360" w:lineRule="auto"/>
        <w:rPr>
          <w:rtl/>
        </w:rPr>
      </w:pPr>
      <w:r>
        <w:rPr>
          <w:rStyle w:val="FootnoteReference"/>
        </w:rPr>
        <w:footnoteRef/>
      </w:r>
      <w:r>
        <w:t xml:space="preserve"> </w:t>
      </w:r>
      <w:r>
        <w:rPr>
          <w:rtl/>
        </w:rPr>
        <w:t>היערכות ישראל להסתגלות לשינוי אקלים: המלצות לממשלה לאסטרטגיה ותענית פעולה לאומית, המשרד להגנת הסביבה, 2017</w:t>
      </w:r>
      <w:r>
        <w:t>.</w:t>
      </w:r>
    </w:p>
  </w:footnote>
  <w:footnote w:id="3">
    <w:p w14:paraId="3DE4B141" w14:textId="77777777" w:rsidR="00925F33" w:rsidRDefault="00925F33" w:rsidP="00925F33">
      <w:pPr>
        <w:pStyle w:val="FootnoteText"/>
        <w:spacing w:line="360" w:lineRule="auto"/>
        <w:rPr>
          <w:rtl/>
        </w:rPr>
      </w:pPr>
      <w:r>
        <w:rPr>
          <w:rStyle w:val="FootnoteReference"/>
        </w:rPr>
        <w:footnoteRef/>
      </w:r>
      <w:r>
        <w:t xml:space="preserve"> </w:t>
      </w:r>
      <w:r>
        <w:rPr>
          <w:rFonts w:hint="cs"/>
          <w:rtl/>
        </w:rPr>
        <w:t xml:space="preserve">לאור משבר הקורונה מועד הצגת היעדים החדשים לאו"ם נדחה בשנה עד לכינוס שייערך בגלזגו בסוף 2021. </w:t>
      </w:r>
      <w:r>
        <w:rPr>
          <w:rFonts w:hint="cs"/>
        </w:rPr>
        <w:t xml:space="preserve"> </w:t>
      </w:r>
    </w:p>
  </w:footnote>
  <w:footnote w:id="4">
    <w:p w14:paraId="0970D10D" w14:textId="77777777" w:rsidR="00925F33" w:rsidRDefault="00925F33" w:rsidP="00925F33">
      <w:pPr>
        <w:pStyle w:val="FootnoteText"/>
        <w:spacing w:line="360" w:lineRule="auto"/>
      </w:pPr>
      <w:r>
        <w:rPr>
          <w:rStyle w:val="FootnoteReference"/>
        </w:rPr>
        <w:footnoteRef/>
      </w:r>
      <w:r>
        <w:t xml:space="preserve"> The Emission Gap Report </w:t>
      </w:r>
      <w:r>
        <w:rPr>
          <w:rFonts w:hint="cs"/>
          <w:rtl/>
        </w:rPr>
        <w:t>-</w:t>
      </w:r>
      <w:r>
        <w:t xml:space="preserve"> </w:t>
      </w:r>
      <w:r>
        <w:rPr>
          <w:rFonts w:hint="cs"/>
          <w:rtl/>
        </w:rPr>
        <w:t xml:space="preserve">כפי שתועד בדו"ח האחרון, </w:t>
      </w:r>
      <w:hyperlink r:id="rId1" w:history="1">
        <w:r w:rsidRPr="001923C2">
          <w:rPr>
            <w:rStyle w:val="Hyperlink"/>
          </w:rPr>
          <w:t>https://www.unep.org/emissions-gap-report-2020</w:t>
        </w:r>
      </w:hyperlink>
    </w:p>
  </w:footnote>
  <w:footnote w:id="5">
    <w:p w14:paraId="4810894F" w14:textId="77777777" w:rsidR="00925F33" w:rsidRDefault="00925F33" w:rsidP="00925F33">
      <w:pPr>
        <w:pStyle w:val="FootnoteText"/>
        <w:spacing w:line="360" w:lineRule="auto"/>
      </w:pPr>
      <w:r>
        <w:rPr>
          <w:rStyle w:val="FootnoteReference"/>
        </w:rPr>
        <w:footnoteRef/>
      </w:r>
      <w:r>
        <w:t xml:space="preserve"> </w:t>
      </w:r>
      <w:r>
        <w:rPr>
          <w:rtl/>
        </w:rPr>
        <w:t>בין היתר, ניתן להפנות למחקרים הבא</w:t>
      </w:r>
      <w:r>
        <w:rPr>
          <w:rFonts w:hint="cs"/>
          <w:rtl/>
        </w:rPr>
        <w:t>ים :</w:t>
      </w:r>
      <w:r>
        <w:t xml:space="preserve"> </w:t>
      </w:r>
      <w:r>
        <w:rPr>
          <w:rtl/>
        </w:rPr>
        <w:br/>
      </w:r>
      <w:r>
        <w:t xml:space="preserve">"ESG and financial performance: aggregated evidence from more than 2000 empirical studies" </w:t>
      </w:r>
      <w:r>
        <w:rPr>
          <w:rFonts w:hint="cs"/>
          <w:rtl/>
        </w:rPr>
        <w:t xml:space="preserve"> מחקר אשר </w:t>
      </w:r>
      <w:r>
        <w:rPr>
          <w:rtl/>
        </w:rPr>
        <w:br/>
        <w:t xml:space="preserve">פורסם על ידי </w:t>
      </w:r>
      <w:proofErr w:type="spellStart"/>
      <w:r>
        <w:rPr>
          <w:rtl/>
        </w:rPr>
        <w:t>דויטשה</w:t>
      </w:r>
      <w:proofErr w:type="spellEnd"/>
      <w:r>
        <w:rPr>
          <w:rtl/>
        </w:rPr>
        <w:t xml:space="preserve"> בנק ואוניברסיטת המבור</w:t>
      </w:r>
      <w:r>
        <w:rPr>
          <w:rFonts w:hint="cs"/>
          <w:rtl/>
        </w:rPr>
        <w:t xml:space="preserve">ג : </w:t>
      </w:r>
      <w:r>
        <w:t xml:space="preserve"> </w:t>
      </w:r>
      <w:r>
        <w:rPr>
          <w:rtl/>
        </w:rPr>
        <w:br/>
      </w:r>
      <w:r>
        <w:t>(Deutsche Asset &amp; Wealth Management Investment, Frankfurt am Main, Germany; School of Business, Economics and Social Science, University of Hamburg, Hamburg, Germany);</w:t>
      </w:r>
      <w:r>
        <w:rPr>
          <w:rtl/>
        </w:rPr>
        <w:br/>
      </w:r>
      <w:r>
        <w:t>"Socially responsible investing: viable for value investors?"</w:t>
      </w:r>
      <w:r>
        <w:rPr>
          <w:rFonts w:hint="cs"/>
          <w:rtl/>
        </w:rPr>
        <w:t xml:space="preserve"> מאת אברמסון </w:t>
      </w:r>
      <w:proofErr w:type="spellStart"/>
      <w:r>
        <w:rPr>
          <w:rFonts w:hint="cs"/>
          <w:rtl/>
        </w:rPr>
        <w:t>וצ'אנג</w:t>
      </w:r>
      <w:proofErr w:type="spellEnd"/>
      <w:r>
        <w:rPr>
          <w:rFonts w:hint="cs"/>
          <w:rtl/>
        </w:rPr>
        <w:t xml:space="preserve"> אשר פורסם בשנת 2000 - </w:t>
      </w:r>
      <w:r>
        <w:rPr>
          <w:rtl/>
        </w:rPr>
        <w:br/>
      </w:r>
      <w:hyperlink r:id="rId2" w:history="1">
        <w:r w:rsidRPr="00BF15B0">
          <w:rPr>
            <w:rStyle w:val="Hyperlink"/>
          </w:rPr>
          <w:t>https://www.cfapubs.org/doi/full/10.2469/dig.v31.n2.879</w:t>
        </w:r>
      </w:hyperlink>
      <w:r>
        <w:rPr>
          <w:rtl/>
        </w:rPr>
        <w:br/>
      </w:r>
      <w:r>
        <w:t>" Socially responsible indexes: Composition, performance and tracking error"</w:t>
      </w:r>
      <w:r>
        <w:rPr>
          <w:rFonts w:hint="cs"/>
          <w:rtl/>
        </w:rPr>
        <w:t xml:space="preserve"> מחקר של מאיר </w:t>
      </w:r>
      <w:proofErr w:type="spellStart"/>
      <w:r>
        <w:rPr>
          <w:rFonts w:hint="cs"/>
          <w:rtl/>
        </w:rPr>
        <w:t>סטטמן</w:t>
      </w:r>
      <w:proofErr w:type="spellEnd"/>
      <w:r>
        <w:rPr>
          <w:rFonts w:hint="cs"/>
          <w:rtl/>
        </w:rPr>
        <w:t xml:space="preserve"> אשר פורסם בשנת 2006 -</w:t>
      </w:r>
      <w:r>
        <w:rPr>
          <w:rtl/>
        </w:rPr>
        <w:br/>
      </w:r>
      <w:r>
        <w:rPr>
          <w:rFonts w:hint="cs"/>
          <w:rtl/>
        </w:rPr>
        <w:t xml:space="preserve">  </w:t>
      </w:r>
      <w:hyperlink r:id="rId3" w:history="1">
        <w:r w:rsidRPr="00BF15B0">
          <w:rPr>
            <w:rStyle w:val="Hyperlink"/>
          </w:rPr>
          <w:t>https://www.researchgate.net/profile/Meir-Statman/publication/228741949_Socially_responsible_indexes_Composition_performance_and_tracking_errors/links/554e06db08ae93634ec6ff63/Socially-responsible-indexes-Composition-performance-and-tracking-errors.pdf</w:t>
        </w:r>
      </w:hyperlink>
    </w:p>
  </w:footnote>
  <w:footnote w:id="6">
    <w:p w14:paraId="14D4EA46" w14:textId="77777777" w:rsidR="00504973" w:rsidRDefault="00504973" w:rsidP="00504973">
      <w:pPr>
        <w:bidi w:val="0"/>
        <w:spacing w:line="240" w:lineRule="auto"/>
        <w:rPr>
          <w:rFonts w:ascii="David" w:hAnsi="David" w:cs="David"/>
          <w:sz w:val="20"/>
          <w:szCs w:val="20"/>
        </w:rPr>
      </w:pPr>
      <w:r>
        <w:rPr>
          <w:rStyle w:val="FootnoteReference"/>
        </w:rPr>
        <w:footnoteRef/>
      </w:r>
      <w:r>
        <w:rPr>
          <w:rtl/>
        </w:rPr>
        <w:t xml:space="preserve"> </w:t>
      </w:r>
      <w:r w:rsidRPr="00D015A4">
        <w:rPr>
          <w:rFonts w:ascii="David" w:hAnsi="David" w:cs="David"/>
          <w:sz w:val="20"/>
          <w:szCs w:val="20"/>
        </w:rPr>
        <w:t xml:space="preserve"> </w:t>
      </w:r>
      <w:r w:rsidRPr="003005E6">
        <w:rPr>
          <w:rFonts w:ascii="David" w:hAnsi="David" w:cs="David"/>
          <w:sz w:val="20"/>
          <w:szCs w:val="20"/>
        </w:rPr>
        <w:t>IPCC, 2014, Climate change 2014 Synthesis Report, Intergovernmental Panel on Climate Change, Switzerland</w:t>
      </w:r>
      <w:r>
        <w:rPr>
          <w:rFonts w:ascii="David" w:hAnsi="David" w:cs="David"/>
          <w:sz w:val="20"/>
          <w:szCs w:val="20"/>
        </w:rPr>
        <w:t xml:space="preserve">. </w:t>
      </w:r>
    </w:p>
    <w:p w14:paraId="472C3334" w14:textId="77777777" w:rsidR="00504973" w:rsidRDefault="00504973" w:rsidP="00504973">
      <w:pPr>
        <w:bidi w:val="0"/>
        <w:spacing w:line="240" w:lineRule="auto"/>
        <w:rPr>
          <w:rFonts w:ascii="David" w:hAnsi="David" w:cs="David"/>
          <w:sz w:val="20"/>
          <w:szCs w:val="20"/>
        </w:rPr>
      </w:pPr>
      <w:r w:rsidRPr="003005E6">
        <w:rPr>
          <w:rFonts w:ascii="David" w:hAnsi="David" w:cs="David"/>
          <w:sz w:val="20"/>
          <w:szCs w:val="20"/>
        </w:rPr>
        <w:t>IPCC, 2018, Global Warming of 1.5'C, Climate change Intergovernmental Panel on Climate Change, Switzerland</w:t>
      </w:r>
      <w:r w:rsidRPr="00761345">
        <w:rPr>
          <w:rFonts w:ascii="David" w:hAnsi="David" w:cs="David"/>
          <w:sz w:val="20"/>
          <w:szCs w:val="20"/>
        </w:rPr>
        <w:t xml:space="preserve">. </w:t>
      </w:r>
    </w:p>
    <w:p w14:paraId="05B53F71" w14:textId="77777777" w:rsidR="00504973" w:rsidRDefault="00504973" w:rsidP="00504973">
      <w:pPr>
        <w:bidi w:val="0"/>
        <w:spacing w:line="240" w:lineRule="auto"/>
        <w:rPr>
          <w:rFonts w:ascii="David" w:hAnsi="David" w:cs="David"/>
          <w:sz w:val="20"/>
          <w:szCs w:val="20"/>
        </w:rPr>
      </w:pPr>
      <w:r w:rsidRPr="003005E6">
        <w:rPr>
          <w:rFonts w:ascii="David" w:hAnsi="David" w:cs="David"/>
          <w:sz w:val="20"/>
          <w:szCs w:val="20"/>
        </w:rPr>
        <w:t>USGCRP, 2017. Climate Science Special Report: Fourth National Climate Assessment, Volume I, U.S. Global Change Research Program, Washington, DC.</w:t>
      </w:r>
      <w:r>
        <w:rPr>
          <w:rFonts w:ascii="David" w:hAnsi="David" w:cs="David"/>
          <w:sz w:val="20"/>
          <w:szCs w:val="20"/>
        </w:rPr>
        <w:t xml:space="preserve"> </w:t>
      </w:r>
    </w:p>
    <w:p w14:paraId="154F7498" w14:textId="77777777" w:rsidR="00504973" w:rsidRDefault="00504973" w:rsidP="00504973">
      <w:pPr>
        <w:pStyle w:val="FootnoteText"/>
        <w:bidi w:val="0"/>
      </w:pPr>
      <w:r w:rsidRPr="003005E6">
        <w:rPr>
          <w:rFonts w:ascii="David" w:hAnsi="David"/>
        </w:rPr>
        <w:t>USGCRP, 2018, Impacts, Risks, and Adaptation in United States: Fourth National Climate Assessment. Volume II, U.S. Global Change Research Program, Washington DC</w:t>
      </w:r>
      <w:r>
        <w:rPr>
          <w:rFonts w:ascii="David" w:hAnsi="David"/>
        </w:rPr>
        <w:t>.</w:t>
      </w:r>
    </w:p>
  </w:footnote>
  <w:footnote w:id="7">
    <w:p w14:paraId="2438BAF2" w14:textId="77777777" w:rsidR="00504973" w:rsidRPr="00332B1F" w:rsidRDefault="00504973" w:rsidP="00504973">
      <w:pPr>
        <w:pStyle w:val="FootnoteText"/>
        <w:rPr>
          <w:rFonts w:cstheme="minorHAnsi"/>
          <w:rtl/>
        </w:rPr>
      </w:pPr>
      <w:r w:rsidRPr="00FB112B">
        <w:rPr>
          <w:rStyle w:val="FootnoteReference"/>
        </w:rPr>
        <w:footnoteRef/>
      </w:r>
      <w:r w:rsidRPr="00FB112B">
        <w:rPr>
          <w:rtl/>
        </w:rPr>
        <w:t xml:space="preserve"> </w:t>
      </w:r>
      <w:r>
        <w:rPr>
          <w:rFonts w:hint="cs"/>
          <w:rtl/>
        </w:rPr>
        <w:t xml:space="preserve">לדעה שונה ראו: </w:t>
      </w:r>
      <w:hyperlink w:tgtFrame="_blank" w:history="1">
        <w:r w:rsidRPr="00332B1F">
          <w:rPr>
            <w:rStyle w:val="Hyperlink"/>
            <w:rFonts w:cstheme="minorHAnsi"/>
            <w:color w:val="1155CC"/>
            <w:shd w:val="clear" w:color="auto" w:fill="FFFFFF"/>
          </w:rPr>
          <w:t>https://www.bundestag.de/resource/blob/580504/2b96f368c0a785e5e4a09bb1d9797449/19-16-143_fachgespraech_cop24_prof_nir_shaviv-data.pdf</w:t>
        </w:r>
      </w:hyperlink>
    </w:p>
  </w:footnote>
  <w:footnote w:id="8">
    <w:p w14:paraId="1C260A86" w14:textId="77777777" w:rsidR="00504973" w:rsidRPr="0021470A" w:rsidRDefault="00504973" w:rsidP="00504973">
      <w:pPr>
        <w:bidi w:val="0"/>
        <w:spacing w:after="120" w:line="360" w:lineRule="auto"/>
        <w:rPr>
          <w:rFonts w:ascii="David" w:hAnsi="David" w:cs="David"/>
          <w:sz w:val="20"/>
          <w:szCs w:val="20"/>
          <w:rtl/>
        </w:rPr>
      </w:pPr>
      <w:r w:rsidRPr="00A9403C">
        <w:rPr>
          <w:rStyle w:val="FootnoteReference"/>
          <w:sz w:val="20"/>
          <w:szCs w:val="20"/>
        </w:rPr>
        <w:footnoteRef/>
      </w:r>
      <w:r w:rsidRPr="00A9403C">
        <w:rPr>
          <w:sz w:val="20"/>
          <w:szCs w:val="20"/>
          <w:rtl/>
        </w:rPr>
        <w:t xml:space="preserve"> </w:t>
      </w:r>
      <w:proofErr w:type="spellStart"/>
      <w:r w:rsidRPr="00A9403C">
        <w:rPr>
          <w:rFonts w:ascii="David" w:hAnsi="David" w:cs="David"/>
          <w:sz w:val="20"/>
          <w:szCs w:val="20"/>
        </w:rPr>
        <w:t>Krogstrup</w:t>
      </w:r>
      <w:proofErr w:type="spellEnd"/>
      <w:r>
        <w:rPr>
          <w:rFonts w:ascii="David" w:hAnsi="David" w:cs="David"/>
          <w:sz w:val="20"/>
          <w:szCs w:val="20"/>
        </w:rPr>
        <w:t>, S., &amp;</w:t>
      </w:r>
      <w:r w:rsidRPr="00A9403C">
        <w:rPr>
          <w:rFonts w:ascii="David" w:hAnsi="David" w:cs="David"/>
          <w:sz w:val="20"/>
          <w:szCs w:val="20"/>
        </w:rPr>
        <w:t xml:space="preserve"> Oman,</w:t>
      </w:r>
      <w:r>
        <w:rPr>
          <w:rFonts w:ascii="David" w:hAnsi="David" w:cs="David"/>
          <w:sz w:val="20"/>
          <w:szCs w:val="20"/>
        </w:rPr>
        <w:t xml:space="preserve"> W. </w:t>
      </w:r>
      <w:r w:rsidRPr="00A9403C">
        <w:rPr>
          <w:rFonts w:ascii="David" w:hAnsi="David" w:cs="David"/>
          <w:sz w:val="20"/>
          <w:szCs w:val="20"/>
        </w:rPr>
        <w:t>September 2019, Macroeconomic and Financial Policies for Climate Change Mitigation: A Review of the Literature, IMF, WP/19/185</w:t>
      </w:r>
    </w:p>
  </w:footnote>
  <w:footnote w:id="9">
    <w:p w14:paraId="7A6E8700" w14:textId="77777777" w:rsidR="00504973" w:rsidRPr="003F54E5" w:rsidRDefault="00504973" w:rsidP="00504973">
      <w:pPr>
        <w:bidi w:val="0"/>
        <w:spacing w:after="120" w:line="360" w:lineRule="auto"/>
      </w:pPr>
      <w:r w:rsidRPr="00A9403C">
        <w:rPr>
          <w:rStyle w:val="FootnoteReference"/>
          <w:sz w:val="20"/>
          <w:szCs w:val="20"/>
        </w:rPr>
        <w:footnoteRef/>
      </w:r>
      <w:r w:rsidRPr="00A9403C">
        <w:rPr>
          <w:sz w:val="20"/>
          <w:szCs w:val="20"/>
          <w:rtl/>
        </w:rPr>
        <w:t xml:space="preserve"> </w:t>
      </w:r>
      <w:r>
        <w:rPr>
          <w:rFonts w:ascii="David" w:hAnsi="David" w:cs="David"/>
          <w:sz w:val="20"/>
          <w:szCs w:val="20"/>
        </w:rPr>
        <w:t xml:space="preserve">IMF, </w:t>
      </w:r>
      <w:r w:rsidRPr="00A9403C">
        <w:rPr>
          <w:rFonts w:ascii="David" w:hAnsi="David" w:cs="David"/>
          <w:sz w:val="20"/>
          <w:szCs w:val="20"/>
        </w:rPr>
        <w:t>Fiscal Monitor, How to Mitigate Climate Change, October 2019</w:t>
      </w:r>
      <w:r>
        <w:rPr>
          <w:rFonts w:ascii="David" w:hAnsi="David" w:cs="David"/>
          <w:sz w:val="20"/>
          <w:szCs w:val="20"/>
        </w:rPr>
        <w:t>.</w:t>
      </w:r>
    </w:p>
  </w:footnote>
  <w:footnote w:id="10">
    <w:p w14:paraId="1251A3AF" w14:textId="77777777" w:rsidR="00504973" w:rsidRPr="00FB112B" w:rsidRDefault="00504973" w:rsidP="00504973">
      <w:pPr>
        <w:pStyle w:val="FootnoteText"/>
        <w:jc w:val="both"/>
        <w:rPr>
          <w:rtl/>
        </w:rPr>
      </w:pPr>
      <w:r w:rsidRPr="00FB112B">
        <w:rPr>
          <w:rStyle w:val="FootnoteReference"/>
        </w:rPr>
        <w:footnoteRef/>
      </w:r>
      <w:r w:rsidRPr="00FB112B">
        <w:rPr>
          <w:rtl/>
        </w:rPr>
        <w:t xml:space="preserve"> </w:t>
      </w:r>
      <w:r w:rsidRPr="00FB112B">
        <w:rPr>
          <w:rFonts w:hint="cs"/>
          <w:rtl/>
        </w:rPr>
        <w:t xml:space="preserve">לניתוח על של תוצאות </w:t>
      </w:r>
      <w:proofErr w:type="spellStart"/>
      <w:r w:rsidRPr="00FB112B">
        <w:rPr>
          <w:rFonts w:hint="cs"/>
          <w:rtl/>
        </w:rPr>
        <w:t>האמפיריקה</w:t>
      </w:r>
      <w:proofErr w:type="spellEnd"/>
      <w:r w:rsidRPr="00FB112B">
        <w:rPr>
          <w:rFonts w:hint="cs"/>
          <w:rtl/>
        </w:rPr>
        <w:t xml:space="preserve"> של גמישות הביקוש לאנרגיה ראה: </w:t>
      </w:r>
      <w:proofErr w:type="spellStart"/>
      <w:r w:rsidRPr="001A7FEC">
        <w:t>Labandeira</w:t>
      </w:r>
      <w:proofErr w:type="spellEnd"/>
      <w:r w:rsidRPr="001A7FEC">
        <w:t xml:space="preserve">, X., </w:t>
      </w:r>
      <w:proofErr w:type="spellStart"/>
      <w:r w:rsidRPr="001A7FEC">
        <w:t>Labeaga</w:t>
      </w:r>
      <w:proofErr w:type="spellEnd"/>
      <w:r w:rsidRPr="001A7FEC">
        <w:t>, J.M. and López-Otero, X., 2017. A meta-analysis on the price elasticity of energy demand. Energy Policy, 102, pp.549-568.</w:t>
      </w:r>
    </w:p>
  </w:footnote>
  <w:footnote w:id="11">
    <w:p w14:paraId="7A9B1679" w14:textId="77777777" w:rsidR="00504973" w:rsidRPr="003F54E5" w:rsidRDefault="00504973" w:rsidP="00504973">
      <w:pPr>
        <w:pStyle w:val="FootnoteText"/>
        <w:bidi w:val="0"/>
      </w:pPr>
      <w:r>
        <w:rPr>
          <w:rStyle w:val="FootnoteReference"/>
        </w:rPr>
        <w:footnoteRef/>
      </w:r>
      <w:r>
        <w:rPr>
          <w:rtl/>
        </w:rPr>
        <w:t xml:space="preserve"> </w:t>
      </w:r>
      <w:proofErr w:type="spellStart"/>
      <w:r w:rsidRPr="00A9403C">
        <w:rPr>
          <w:rFonts w:ascii="David" w:hAnsi="David"/>
        </w:rPr>
        <w:t>Krogstrup</w:t>
      </w:r>
      <w:proofErr w:type="spellEnd"/>
      <w:r>
        <w:rPr>
          <w:rFonts w:ascii="David" w:hAnsi="David"/>
        </w:rPr>
        <w:t>, S., &amp;</w:t>
      </w:r>
      <w:r w:rsidRPr="00A9403C">
        <w:rPr>
          <w:rFonts w:ascii="David" w:hAnsi="David"/>
        </w:rPr>
        <w:t xml:space="preserve"> Oman,</w:t>
      </w:r>
      <w:r>
        <w:rPr>
          <w:rFonts w:ascii="David" w:hAnsi="David"/>
        </w:rPr>
        <w:t xml:space="preserve"> W.</w:t>
      </w:r>
      <w:r w:rsidRPr="003005E6">
        <w:rPr>
          <w:rFonts w:ascii="David" w:hAnsi="David"/>
        </w:rPr>
        <w:t>, September 2019, Macroeconomic and Financial Policies for Climate Change Mitigation: A Review of the Literature, IMF, WP/19/185</w:t>
      </w:r>
    </w:p>
  </w:footnote>
  <w:footnote w:id="12">
    <w:p w14:paraId="299A28EA" w14:textId="77777777" w:rsidR="0062275F" w:rsidRDefault="0062275F" w:rsidP="0062275F">
      <w:pPr>
        <w:pStyle w:val="FootnoteText"/>
      </w:pPr>
      <w:r>
        <w:rPr>
          <w:rStyle w:val="FootnoteReference"/>
        </w:rPr>
        <w:footnoteRef/>
      </w:r>
      <w:r>
        <w:rPr>
          <w:sz w:val="20"/>
          <w:rtl/>
        </w:rPr>
        <w:t xml:space="preserve"> ס"ח </w:t>
      </w:r>
      <w:proofErr w:type="spellStart"/>
      <w:r>
        <w:rPr>
          <w:sz w:val="20"/>
          <w:rtl/>
        </w:rPr>
        <w:t>התשל"ה</w:t>
      </w:r>
      <w:proofErr w:type="spellEnd"/>
      <w:r>
        <w:rPr>
          <w:sz w:val="20"/>
          <w:rtl/>
        </w:rPr>
        <w:t>, עמ' 132.</w:t>
      </w:r>
    </w:p>
  </w:footnote>
  <w:footnote w:id="13">
    <w:p w14:paraId="248B941E" w14:textId="77777777" w:rsidR="0062275F" w:rsidRDefault="0062275F" w:rsidP="0062275F">
      <w:pPr>
        <w:pStyle w:val="FootnoteText"/>
        <w:rPr>
          <w:rtl/>
        </w:rPr>
      </w:pPr>
      <w:r>
        <w:rPr>
          <w:rStyle w:val="FootnoteReference"/>
        </w:rPr>
        <w:footnoteRef/>
      </w:r>
      <w:r>
        <w:rPr>
          <w:rtl/>
        </w:rPr>
        <w:t xml:space="preserve"> </w:t>
      </w:r>
      <w:r>
        <w:rPr>
          <w:rFonts w:hint="cs"/>
          <w:rtl/>
        </w:rPr>
        <w:t xml:space="preserve">ס"ח </w:t>
      </w:r>
      <w:proofErr w:type="spellStart"/>
      <w:r>
        <w:rPr>
          <w:rFonts w:hint="cs"/>
          <w:rtl/>
        </w:rPr>
        <w:t>התשס"ה</w:t>
      </w:r>
      <w:proofErr w:type="spellEnd"/>
      <w:r>
        <w:rPr>
          <w:rFonts w:hint="cs"/>
          <w:rtl/>
        </w:rPr>
        <w:t xml:space="preserve">, עמ' 889. </w:t>
      </w:r>
    </w:p>
  </w:footnote>
  <w:footnote w:id="14">
    <w:p w14:paraId="19BE122D" w14:textId="77777777" w:rsidR="0062275F" w:rsidRDefault="0062275F" w:rsidP="0062275F">
      <w:pPr>
        <w:pStyle w:val="FootnoteText"/>
        <w:rPr>
          <w:rtl/>
        </w:rPr>
      </w:pPr>
      <w:r>
        <w:rPr>
          <w:rStyle w:val="FootnoteReference"/>
        </w:rPr>
        <w:footnoteRef/>
      </w:r>
      <w:r>
        <w:rPr>
          <w:rtl/>
        </w:rPr>
        <w:t xml:space="preserve"> </w:t>
      </w:r>
      <w:r>
        <w:rPr>
          <w:rFonts w:hint="cs"/>
          <w:rtl/>
        </w:rPr>
        <w:t xml:space="preserve">ס"ח </w:t>
      </w:r>
      <w:proofErr w:type="spellStart"/>
      <w:r>
        <w:rPr>
          <w:rFonts w:hint="cs"/>
          <w:rtl/>
        </w:rPr>
        <w:t>התשכ"ח</w:t>
      </w:r>
      <w:proofErr w:type="spellEnd"/>
      <w:r>
        <w:rPr>
          <w:rFonts w:hint="cs"/>
          <w:rtl/>
        </w:rPr>
        <w:t xml:space="preserve">, עמ' 234. </w:t>
      </w:r>
    </w:p>
  </w:footnote>
  <w:footnote w:id="15">
    <w:p w14:paraId="2BCC0292" w14:textId="77777777" w:rsidR="0062275F" w:rsidRDefault="0062275F" w:rsidP="0062275F">
      <w:pPr>
        <w:pStyle w:val="FootnoteText"/>
        <w:rPr>
          <w:rtl/>
        </w:rPr>
      </w:pPr>
      <w:r>
        <w:rPr>
          <w:rStyle w:val="FootnoteReference"/>
        </w:rPr>
        <w:footnoteRef/>
      </w:r>
      <w:r>
        <w:rPr>
          <w:rtl/>
        </w:rPr>
        <w:t xml:space="preserve"> </w:t>
      </w:r>
      <w:r>
        <w:rPr>
          <w:rFonts w:hint="cs"/>
          <w:rtl/>
        </w:rPr>
        <w:t xml:space="preserve">ס"ח </w:t>
      </w:r>
      <w:proofErr w:type="spellStart"/>
      <w:r>
        <w:rPr>
          <w:rFonts w:hint="cs"/>
          <w:rtl/>
        </w:rPr>
        <w:t>התשס"ה</w:t>
      </w:r>
      <w:proofErr w:type="spellEnd"/>
      <w:r>
        <w:rPr>
          <w:rFonts w:hint="cs"/>
          <w:rtl/>
        </w:rPr>
        <w:t xml:space="preserve">, עמ' 918. </w:t>
      </w:r>
    </w:p>
  </w:footnote>
  <w:footnote w:id="16">
    <w:p w14:paraId="4C8B53AF" w14:textId="77777777" w:rsidR="0062275F" w:rsidRDefault="0062275F" w:rsidP="0062275F">
      <w:pPr>
        <w:pStyle w:val="FootnoteText"/>
        <w:rPr>
          <w:rtl/>
        </w:rPr>
      </w:pPr>
      <w:r>
        <w:rPr>
          <w:rStyle w:val="FootnoteReference"/>
        </w:rPr>
        <w:footnoteRef/>
      </w:r>
      <w:r>
        <w:rPr>
          <w:rtl/>
        </w:rPr>
        <w:t xml:space="preserve"> </w:t>
      </w:r>
      <w:r>
        <w:rPr>
          <w:rFonts w:hint="cs"/>
          <w:rtl/>
        </w:rPr>
        <w:t xml:space="preserve">ס"ח </w:t>
      </w:r>
      <w:proofErr w:type="spellStart"/>
      <w:r>
        <w:rPr>
          <w:rFonts w:hint="cs"/>
          <w:rtl/>
        </w:rPr>
        <w:t>התשס"ה</w:t>
      </w:r>
      <w:proofErr w:type="spellEnd"/>
      <w:r>
        <w:rPr>
          <w:rFonts w:hint="cs"/>
          <w:rtl/>
        </w:rPr>
        <w:t xml:space="preserve">, עמ' 889. </w:t>
      </w:r>
    </w:p>
  </w:footnote>
  <w:footnote w:id="17">
    <w:p w14:paraId="0C3AC5FB" w14:textId="77777777" w:rsidR="0062275F" w:rsidRDefault="0062275F" w:rsidP="0062275F">
      <w:pPr>
        <w:pStyle w:val="FootnoteText"/>
      </w:pPr>
      <w:r>
        <w:rPr>
          <w:rStyle w:val="FootnoteReference"/>
        </w:rPr>
        <w:footnoteRef/>
      </w:r>
      <w:r>
        <w:rPr>
          <w:rtl/>
        </w:rPr>
        <w:t xml:space="preserve"> ס"ח </w:t>
      </w:r>
      <w:proofErr w:type="spellStart"/>
      <w:r>
        <w:rPr>
          <w:rtl/>
        </w:rPr>
        <w:t>התשכ"ח</w:t>
      </w:r>
      <w:proofErr w:type="spellEnd"/>
      <w:r>
        <w:rPr>
          <w:rtl/>
        </w:rPr>
        <w:t>, עמ' 234.</w:t>
      </w:r>
    </w:p>
  </w:footnote>
  <w:footnote w:id="18">
    <w:p w14:paraId="5264AD1D" w14:textId="77777777" w:rsidR="0062275F" w:rsidRDefault="0062275F" w:rsidP="0062275F">
      <w:pPr>
        <w:pStyle w:val="FootnoteText"/>
        <w:rPr>
          <w:rtl/>
        </w:rPr>
      </w:pPr>
      <w:r>
        <w:rPr>
          <w:rStyle w:val="FootnoteReference"/>
        </w:rPr>
        <w:footnoteRef/>
      </w:r>
      <w:r>
        <w:rPr>
          <w:rtl/>
        </w:rPr>
        <w:t xml:space="preserve"> </w:t>
      </w:r>
      <w:r>
        <w:rPr>
          <w:sz w:val="20"/>
          <w:rtl/>
        </w:rPr>
        <w:t>דיני מדינת ישראל, נוסח חדש 6, עמ' 120.</w:t>
      </w:r>
    </w:p>
  </w:footnote>
  <w:footnote w:id="19">
    <w:p w14:paraId="53573244" w14:textId="77777777" w:rsidR="00C9328F" w:rsidRDefault="00C9328F" w:rsidP="00C9328F">
      <w:pPr>
        <w:pStyle w:val="FootnoteText"/>
      </w:pPr>
      <w:r>
        <w:rPr>
          <w:rStyle w:val="FootnoteReference"/>
        </w:rPr>
        <w:footnoteRef/>
      </w:r>
      <w:r>
        <w:rPr>
          <w:rtl/>
        </w:rPr>
        <w:t xml:space="preserve"> </w:t>
      </w:r>
      <w:r>
        <w:rPr>
          <w:rFonts w:hint="cs"/>
          <w:rtl/>
        </w:rPr>
        <w:t xml:space="preserve">ס"ח </w:t>
      </w:r>
      <w:proofErr w:type="spellStart"/>
      <w:r>
        <w:rPr>
          <w:rFonts w:hint="cs"/>
          <w:rtl/>
        </w:rPr>
        <w:t>התשנ"ט</w:t>
      </w:r>
      <w:proofErr w:type="spellEnd"/>
      <w:r>
        <w:rPr>
          <w:rFonts w:hint="cs"/>
          <w:rtl/>
        </w:rPr>
        <w:t>, עמ' 199.</w:t>
      </w:r>
    </w:p>
  </w:footnote>
  <w:footnote w:id="20">
    <w:p w14:paraId="53302EB2" w14:textId="77777777" w:rsidR="00C9328F" w:rsidRDefault="00C9328F" w:rsidP="00C9328F">
      <w:pPr>
        <w:pStyle w:val="FootnoteText"/>
      </w:pPr>
      <w:r>
        <w:rPr>
          <w:rStyle w:val="FootnoteReference"/>
        </w:rPr>
        <w:footnoteRef/>
      </w:r>
      <w:r>
        <w:rPr>
          <w:rtl/>
        </w:rPr>
        <w:t xml:space="preserve"> </w:t>
      </w:r>
      <w:r w:rsidRPr="00F0612E">
        <w:rPr>
          <w:rtl/>
        </w:rPr>
        <w:t xml:space="preserve">דיני מדינת ישראל </w:t>
      </w:r>
      <w:proofErr w:type="spellStart"/>
      <w:r>
        <w:rPr>
          <w:rFonts w:hint="cs"/>
          <w:rtl/>
        </w:rPr>
        <w:t>התשכ"ד</w:t>
      </w:r>
      <w:proofErr w:type="spellEnd"/>
      <w:r>
        <w:rPr>
          <w:rFonts w:hint="cs"/>
          <w:rtl/>
        </w:rPr>
        <w:t>, עמ' 197.</w:t>
      </w:r>
    </w:p>
  </w:footnote>
  <w:footnote w:id="21">
    <w:p w14:paraId="7A7C5441" w14:textId="77777777" w:rsidR="00C9328F" w:rsidRDefault="00C9328F" w:rsidP="00C9328F">
      <w:pPr>
        <w:pStyle w:val="FootnoteText"/>
      </w:pPr>
      <w:r>
        <w:rPr>
          <w:rStyle w:val="FootnoteReference"/>
        </w:rPr>
        <w:footnoteRef/>
      </w:r>
      <w:r>
        <w:rPr>
          <w:rtl/>
        </w:rPr>
        <w:t xml:space="preserve"> </w:t>
      </w:r>
      <w:r w:rsidRPr="00E724FB">
        <w:rPr>
          <w:rtl/>
        </w:rPr>
        <w:t xml:space="preserve">ס"ח </w:t>
      </w:r>
      <w:proofErr w:type="spellStart"/>
      <w:r>
        <w:rPr>
          <w:rFonts w:hint="cs"/>
          <w:rtl/>
        </w:rPr>
        <w:t>ה</w:t>
      </w:r>
      <w:r>
        <w:rPr>
          <w:rtl/>
        </w:rPr>
        <w:t>תשי"ח</w:t>
      </w:r>
      <w:proofErr w:type="spellEnd"/>
      <w:r>
        <w:rPr>
          <w:rFonts w:hint="cs"/>
          <w:rtl/>
        </w:rPr>
        <w:t>, עמ' 191.</w:t>
      </w:r>
    </w:p>
  </w:footnote>
  <w:footnote w:id="22">
    <w:p w14:paraId="63B7E2EE" w14:textId="77777777" w:rsidR="006E6E64" w:rsidRDefault="006E6E64" w:rsidP="006E6E64">
      <w:pPr>
        <w:pStyle w:val="FootnoteText"/>
      </w:pPr>
      <w:r>
        <w:rPr>
          <w:rStyle w:val="FootnoteReference"/>
        </w:rPr>
        <w:footnoteRef/>
      </w:r>
      <w:r>
        <w:rPr>
          <w:sz w:val="20"/>
          <w:rtl/>
        </w:rPr>
        <w:t xml:space="preserve"> </w:t>
      </w:r>
      <w:r w:rsidRPr="00BA267A">
        <w:rPr>
          <w:rtl/>
        </w:rPr>
        <w:t xml:space="preserve">ס"ח </w:t>
      </w:r>
      <w:proofErr w:type="spellStart"/>
      <w:r w:rsidRPr="00BA267A">
        <w:rPr>
          <w:rtl/>
        </w:rPr>
        <w:t>התשל"ח</w:t>
      </w:r>
      <w:proofErr w:type="spellEnd"/>
      <w:r w:rsidRPr="00BA267A">
        <w:rPr>
          <w:rtl/>
        </w:rPr>
        <w:t>, עמ'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E73C" w14:textId="77777777" w:rsidR="009D2BC6" w:rsidRDefault="009D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44CA" w14:textId="77777777" w:rsidR="009D2BC6" w:rsidRDefault="009D2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4CED" w14:textId="77777777" w:rsidR="009D2BC6" w:rsidRDefault="009D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97"/>
    <w:multiLevelType w:val="hybridMultilevel"/>
    <w:tmpl w:val="70223BEC"/>
    <w:lvl w:ilvl="0" w:tplc="D3D4E8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C07282"/>
    <w:multiLevelType w:val="hybridMultilevel"/>
    <w:tmpl w:val="90AE059C"/>
    <w:lvl w:ilvl="0" w:tplc="BFD4A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0209"/>
    <w:multiLevelType w:val="hybridMultilevel"/>
    <w:tmpl w:val="98324418"/>
    <w:lvl w:ilvl="0" w:tplc="D3D4E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1C23"/>
    <w:multiLevelType w:val="hybridMultilevel"/>
    <w:tmpl w:val="A26A3B34"/>
    <w:lvl w:ilvl="0" w:tplc="E06AE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574EE"/>
    <w:multiLevelType w:val="hybridMultilevel"/>
    <w:tmpl w:val="D9EA8646"/>
    <w:lvl w:ilvl="0" w:tplc="6CC09208">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91896"/>
    <w:multiLevelType w:val="hybridMultilevel"/>
    <w:tmpl w:val="D3F4B996"/>
    <w:lvl w:ilvl="0" w:tplc="282A4484">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8E3C9D"/>
    <w:multiLevelType w:val="hybridMultilevel"/>
    <w:tmpl w:val="24D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61372"/>
    <w:multiLevelType w:val="hybridMultilevel"/>
    <w:tmpl w:val="383A56C6"/>
    <w:lvl w:ilvl="0" w:tplc="86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B43EF"/>
    <w:multiLevelType w:val="hybridMultilevel"/>
    <w:tmpl w:val="D5FCC202"/>
    <w:lvl w:ilvl="0" w:tplc="D3D4E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5F"/>
    <w:rsid w:val="000209DE"/>
    <w:rsid w:val="0007248B"/>
    <w:rsid w:val="000A706C"/>
    <w:rsid w:val="000C3B2D"/>
    <w:rsid w:val="000C3CF2"/>
    <w:rsid w:val="00142021"/>
    <w:rsid w:val="001442AC"/>
    <w:rsid w:val="00146B2F"/>
    <w:rsid w:val="00187859"/>
    <w:rsid w:val="001B6546"/>
    <w:rsid w:val="001B7682"/>
    <w:rsid w:val="001C0099"/>
    <w:rsid w:val="001E089A"/>
    <w:rsid w:val="001E70C9"/>
    <w:rsid w:val="002169FF"/>
    <w:rsid w:val="00252014"/>
    <w:rsid w:val="00266FDC"/>
    <w:rsid w:val="0027283F"/>
    <w:rsid w:val="002E0CFA"/>
    <w:rsid w:val="00306C65"/>
    <w:rsid w:val="0031524E"/>
    <w:rsid w:val="0033631F"/>
    <w:rsid w:val="00341D82"/>
    <w:rsid w:val="0034694B"/>
    <w:rsid w:val="00362F1B"/>
    <w:rsid w:val="003753D5"/>
    <w:rsid w:val="00390007"/>
    <w:rsid w:val="003C4399"/>
    <w:rsid w:val="003D5DE4"/>
    <w:rsid w:val="00402566"/>
    <w:rsid w:val="00487D69"/>
    <w:rsid w:val="00504973"/>
    <w:rsid w:val="00532A9C"/>
    <w:rsid w:val="00582BD0"/>
    <w:rsid w:val="00611D43"/>
    <w:rsid w:val="0062275F"/>
    <w:rsid w:val="00664800"/>
    <w:rsid w:val="006A5E0F"/>
    <w:rsid w:val="006A7706"/>
    <w:rsid w:val="006D60CF"/>
    <w:rsid w:val="006E6E64"/>
    <w:rsid w:val="006E7DDE"/>
    <w:rsid w:val="00756183"/>
    <w:rsid w:val="00782644"/>
    <w:rsid w:val="00785953"/>
    <w:rsid w:val="007B67F6"/>
    <w:rsid w:val="0080319C"/>
    <w:rsid w:val="00855106"/>
    <w:rsid w:val="00865213"/>
    <w:rsid w:val="008918CC"/>
    <w:rsid w:val="008A1A73"/>
    <w:rsid w:val="008A4B58"/>
    <w:rsid w:val="00925F33"/>
    <w:rsid w:val="00941F62"/>
    <w:rsid w:val="00955F9B"/>
    <w:rsid w:val="009D2BC6"/>
    <w:rsid w:val="009D5D8F"/>
    <w:rsid w:val="00A40FF0"/>
    <w:rsid w:val="00A43E2E"/>
    <w:rsid w:val="00A714C8"/>
    <w:rsid w:val="00AC335B"/>
    <w:rsid w:val="00AC6084"/>
    <w:rsid w:val="00AE300B"/>
    <w:rsid w:val="00B06DA2"/>
    <w:rsid w:val="00B10032"/>
    <w:rsid w:val="00B17AEC"/>
    <w:rsid w:val="00B2001A"/>
    <w:rsid w:val="00B30303"/>
    <w:rsid w:val="00B50483"/>
    <w:rsid w:val="00B66FCF"/>
    <w:rsid w:val="00B911BA"/>
    <w:rsid w:val="00BA3F5B"/>
    <w:rsid w:val="00BA7F0F"/>
    <w:rsid w:val="00BC6B4A"/>
    <w:rsid w:val="00BD6C82"/>
    <w:rsid w:val="00BE5669"/>
    <w:rsid w:val="00C01D00"/>
    <w:rsid w:val="00C53290"/>
    <w:rsid w:val="00C55039"/>
    <w:rsid w:val="00C601B6"/>
    <w:rsid w:val="00C9328F"/>
    <w:rsid w:val="00CB36AE"/>
    <w:rsid w:val="00CB71B3"/>
    <w:rsid w:val="00CD73F5"/>
    <w:rsid w:val="00CF6837"/>
    <w:rsid w:val="00D0091E"/>
    <w:rsid w:val="00D056A7"/>
    <w:rsid w:val="00D118EF"/>
    <w:rsid w:val="00D36F2F"/>
    <w:rsid w:val="00D55074"/>
    <w:rsid w:val="00D6232C"/>
    <w:rsid w:val="00DB7D22"/>
    <w:rsid w:val="00DF169B"/>
    <w:rsid w:val="00E24EEF"/>
    <w:rsid w:val="00E4673B"/>
    <w:rsid w:val="00E56367"/>
    <w:rsid w:val="00E6591D"/>
    <w:rsid w:val="00E91819"/>
    <w:rsid w:val="00E96352"/>
    <w:rsid w:val="00F069D0"/>
    <w:rsid w:val="00F24162"/>
    <w:rsid w:val="00F74ED0"/>
    <w:rsid w:val="00FE6F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41C4"/>
  <w15:chartTrackingRefBased/>
  <w15:docId w15:val="{90312FC3-BF91-5047-9FA3-6D05E4A4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5F"/>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Heading1">
    <w:name w:val="heading 1"/>
    <w:basedOn w:val="Normal"/>
    <w:next w:val="Normal"/>
    <w:link w:val="Heading1Char"/>
    <w:uiPriority w:val="9"/>
    <w:qFormat/>
    <w:rsid w:val="003469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HatzaotHok">
    <w:name w:val="Head HatzaotHok"/>
    <w:basedOn w:val="Normal"/>
    <w:rsid w:val="0062275F"/>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TableText">
    <w:name w:val="Table Text"/>
    <w:basedOn w:val="Normal"/>
    <w:rsid w:val="0062275F"/>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62275F"/>
  </w:style>
  <w:style w:type="paragraph" w:customStyle="1" w:styleId="TableBlock">
    <w:name w:val="Table Block"/>
    <w:basedOn w:val="TableText"/>
    <w:rsid w:val="0062275F"/>
    <w:pPr>
      <w:ind w:right="0"/>
      <w:jc w:val="both"/>
    </w:pPr>
  </w:style>
  <w:style w:type="paragraph" w:styleId="FootnoteText">
    <w:name w:val="footnote text"/>
    <w:basedOn w:val="Normal"/>
    <w:link w:val="FootnoteTextChar"/>
    <w:autoRedefine/>
    <w:uiPriority w:val="99"/>
    <w:rsid w:val="0062275F"/>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FootnoteTextChar">
    <w:name w:val="Footnote Text Char"/>
    <w:basedOn w:val="DefaultParagraphFont"/>
    <w:link w:val="FootnoteText"/>
    <w:uiPriority w:val="99"/>
    <w:rsid w:val="0062275F"/>
    <w:rPr>
      <w:rFonts w:ascii="Arial" w:eastAsia="Arial Unicode MS" w:hAnsi="Arial" w:cs="David"/>
      <w:snapToGrid w:val="0"/>
      <w:color w:val="000000"/>
      <w:sz w:val="14"/>
      <w:szCs w:val="20"/>
      <w:lang w:eastAsia="ja-JP"/>
    </w:rPr>
  </w:style>
  <w:style w:type="character" w:styleId="FootnoteReference">
    <w:name w:val="footnote reference"/>
    <w:basedOn w:val="DefaultParagraphFont"/>
    <w:uiPriority w:val="99"/>
    <w:semiHidden/>
    <w:rsid w:val="0062275F"/>
    <w:rPr>
      <w:vertAlign w:val="superscript"/>
    </w:rPr>
  </w:style>
  <w:style w:type="paragraph" w:customStyle="1" w:styleId="TableBlockOutdent">
    <w:name w:val="Table BlockOutdent"/>
    <w:basedOn w:val="TableBlock"/>
    <w:rsid w:val="0062275F"/>
    <w:pPr>
      <w:ind w:left="624" w:hanging="624"/>
    </w:pPr>
  </w:style>
  <w:style w:type="paragraph" w:customStyle="1" w:styleId="HeadDivreiHesber">
    <w:name w:val="Head DivreiHesber"/>
    <w:basedOn w:val="Normal"/>
    <w:rsid w:val="0062275F"/>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sber">
    <w:name w:val="Hesber"/>
    <w:basedOn w:val="Normal"/>
    <w:rsid w:val="0062275F"/>
    <w:pPr>
      <w:snapToGrid w:val="0"/>
      <w:spacing w:before="0" w:line="360" w:lineRule="auto"/>
    </w:pPr>
    <w:rPr>
      <w:rFonts w:ascii="Arial" w:eastAsia="Arial Unicode MS" w:hAnsi="Arial" w:cs="David"/>
      <w:snapToGrid w:val="0"/>
      <w:spacing w:val="0"/>
      <w:sz w:val="20"/>
      <w:szCs w:val="26"/>
    </w:rPr>
  </w:style>
  <w:style w:type="table" w:styleId="TableGrid">
    <w:name w:val="Table Grid"/>
    <w:basedOn w:val="TableNormal"/>
    <w:uiPriority w:val="39"/>
    <w:rsid w:val="0062275F"/>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Text"/>
    <w:rsid w:val="0062275F"/>
    <w:pPr>
      <w:ind w:right="0"/>
      <w:jc w:val="center"/>
    </w:pPr>
    <w:rPr>
      <w:b/>
      <w:bCs/>
    </w:rPr>
  </w:style>
  <w:style w:type="paragraph" w:customStyle="1" w:styleId="TableInnerSideHeading">
    <w:name w:val="Table InnerSideHeading"/>
    <w:basedOn w:val="TableSideHeading"/>
    <w:uiPriority w:val="99"/>
    <w:rsid w:val="0062275F"/>
  </w:style>
  <w:style w:type="paragraph" w:styleId="Header">
    <w:name w:val="header"/>
    <w:basedOn w:val="Normal"/>
    <w:link w:val="HeaderChar"/>
    <w:uiPriority w:val="99"/>
    <w:unhideWhenUsed/>
    <w:rsid w:val="009D2BC6"/>
    <w:pPr>
      <w:tabs>
        <w:tab w:val="center" w:pos="4153"/>
        <w:tab w:val="right" w:pos="8306"/>
      </w:tabs>
      <w:spacing w:before="0" w:line="240" w:lineRule="auto"/>
    </w:pPr>
  </w:style>
  <w:style w:type="character" w:customStyle="1" w:styleId="HeaderChar">
    <w:name w:val="Header Char"/>
    <w:basedOn w:val="DefaultParagraphFont"/>
    <w:link w:val="Header"/>
    <w:uiPriority w:val="99"/>
    <w:rsid w:val="009D2BC6"/>
    <w:rPr>
      <w:rFonts w:ascii="Hadasa Roso SL" w:eastAsia="MS Mincho" w:hAnsi="Hadasa Roso SL" w:cs="Hadasa Roso SL"/>
      <w:color w:val="000000"/>
      <w:spacing w:val="1"/>
      <w:sz w:val="17"/>
      <w:szCs w:val="17"/>
      <w:lang w:eastAsia="ja-JP"/>
    </w:rPr>
  </w:style>
  <w:style w:type="paragraph" w:styleId="Footer">
    <w:name w:val="footer"/>
    <w:basedOn w:val="Normal"/>
    <w:link w:val="FooterChar"/>
    <w:uiPriority w:val="99"/>
    <w:unhideWhenUsed/>
    <w:rsid w:val="009D2BC6"/>
    <w:pPr>
      <w:tabs>
        <w:tab w:val="center" w:pos="4153"/>
        <w:tab w:val="right" w:pos="8306"/>
      </w:tabs>
      <w:spacing w:before="0" w:line="240" w:lineRule="auto"/>
    </w:pPr>
  </w:style>
  <w:style w:type="character" w:customStyle="1" w:styleId="FooterChar">
    <w:name w:val="Footer Char"/>
    <w:basedOn w:val="DefaultParagraphFont"/>
    <w:link w:val="Footer"/>
    <w:uiPriority w:val="99"/>
    <w:rsid w:val="009D2BC6"/>
    <w:rPr>
      <w:rFonts w:ascii="Hadasa Roso SL" w:eastAsia="MS Mincho" w:hAnsi="Hadasa Roso SL" w:cs="Hadasa Roso SL"/>
      <w:color w:val="000000"/>
      <w:spacing w:val="1"/>
      <w:sz w:val="17"/>
      <w:szCs w:val="17"/>
      <w:lang w:eastAsia="ja-JP"/>
    </w:rPr>
  </w:style>
  <w:style w:type="character" w:styleId="PageNumber">
    <w:name w:val="page number"/>
    <w:basedOn w:val="DefaultParagraphFont"/>
    <w:uiPriority w:val="99"/>
    <w:semiHidden/>
    <w:unhideWhenUsed/>
    <w:rsid w:val="00F74ED0"/>
  </w:style>
  <w:style w:type="character" w:customStyle="1" w:styleId="default">
    <w:name w:val="default"/>
    <w:basedOn w:val="DefaultParagraphFont"/>
    <w:rsid w:val="000209DE"/>
  </w:style>
  <w:style w:type="character" w:customStyle="1" w:styleId="big-number">
    <w:name w:val="big-number"/>
    <w:basedOn w:val="DefaultParagraphFont"/>
    <w:rsid w:val="000209DE"/>
  </w:style>
  <w:style w:type="character" w:customStyle="1" w:styleId="apple-converted-space">
    <w:name w:val="apple-converted-space"/>
    <w:basedOn w:val="DefaultParagraphFont"/>
    <w:rsid w:val="000209DE"/>
  </w:style>
  <w:style w:type="paragraph" w:customStyle="1" w:styleId="p00">
    <w:name w:val="p00"/>
    <w:basedOn w:val="Normal"/>
    <w:rsid w:val="000209DE"/>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paragraph" w:styleId="ListParagraph">
    <w:name w:val="List Paragraph"/>
    <w:basedOn w:val="Normal"/>
    <w:uiPriority w:val="34"/>
    <w:qFormat/>
    <w:rsid w:val="000209DE"/>
    <w:pPr>
      <w:widowControl/>
      <w:autoSpaceDE/>
      <w:autoSpaceDN/>
      <w:adjustRightInd/>
      <w:spacing w:before="0" w:line="240" w:lineRule="auto"/>
      <w:ind w:left="720" w:firstLine="0"/>
      <w:contextualSpacing/>
      <w:jc w:val="left"/>
      <w:textAlignment w:val="auto"/>
    </w:pPr>
    <w:rPr>
      <w:rFonts w:asciiTheme="minorHAnsi" w:eastAsiaTheme="minorHAnsi" w:hAnsiTheme="minorHAnsi" w:cstheme="minorBidi"/>
      <w:color w:val="auto"/>
      <w:spacing w:val="0"/>
      <w:sz w:val="24"/>
      <w:szCs w:val="24"/>
      <w:lang w:eastAsia="en-US"/>
    </w:rPr>
  </w:style>
  <w:style w:type="character" w:customStyle="1" w:styleId="Heading1Char">
    <w:name w:val="Heading 1 Char"/>
    <w:basedOn w:val="DefaultParagraphFont"/>
    <w:link w:val="Heading1"/>
    <w:uiPriority w:val="9"/>
    <w:rsid w:val="0034694B"/>
    <w:rPr>
      <w:rFonts w:asciiTheme="majorHAnsi" w:eastAsiaTheme="majorEastAsia" w:hAnsiTheme="majorHAnsi" w:cstheme="majorBidi"/>
      <w:color w:val="2F5496" w:themeColor="accent1" w:themeShade="BF"/>
      <w:spacing w:val="1"/>
      <w:sz w:val="32"/>
      <w:szCs w:val="32"/>
      <w:lang w:eastAsia="ja-JP"/>
    </w:rPr>
  </w:style>
  <w:style w:type="paragraph" w:styleId="TOCHeading">
    <w:name w:val="TOC Heading"/>
    <w:basedOn w:val="Heading1"/>
    <w:next w:val="Normal"/>
    <w:uiPriority w:val="39"/>
    <w:unhideWhenUsed/>
    <w:qFormat/>
    <w:rsid w:val="0034694B"/>
    <w:pPr>
      <w:widowControl/>
      <w:autoSpaceDE/>
      <w:autoSpaceDN/>
      <w:adjustRightInd/>
      <w:spacing w:before="480" w:line="276" w:lineRule="auto"/>
      <w:ind w:firstLine="0"/>
      <w:jc w:val="left"/>
      <w:textAlignment w:val="auto"/>
      <w:outlineLvl w:val="9"/>
    </w:pPr>
    <w:rPr>
      <w:b/>
      <w:bCs/>
      <w:spacing w:val="0"/>
      <w:sz w:val="28"/>
      <w:szCs w:val="28"/>
      <w:rtl/>
      <w:cs/>
      <w:lang w:eastAsia="en-US"/>
    </w:rPr>
  </w:style>
  <w:style w:type="paragraph" w:styleId="TOC1">
    <w:name w:val="toc 1"/>
    <w:basedOn w:val="Normal"/>
    <w:next w:val="Normal"/>
    <w:autoRedefine/>
    <w:uiPriority w:val="39"/>
    <w:semiHidden/>
    <w:unhideWhenUsed/>
    <w:rsid w:val="0034694B"/>
    <w:pPr>
      <w:spacing w:before="360" w:after="360"/>
      <w:ind w:firstLine="0"/>
      <w:jc w:val="left"/>
    </w:pPr>
    <w:rPr>
      <w:rFonts w:asciiTheme="minorHAnsi" w:hAnsiTheme="minorHAnsi" w:cstheme="minorHAnsi"/>
      <w:b/>
      <w:bCs/>
      <w:caps/>
      <w:sz w:val="22"/>
      <w:szCs w:val="22"/>
      <w:u w:val="single"/>
    </w:rPr>
  </w:style>
  <w:style w:type="paragraph" w:styleId="TOC2">
    <w:name w:val="toc 2"/>
    <w:basedOn w:val="Normal"/>
    <w:next w:val="Normal"/>
    <w:autoRedefine/>
    <w:uiPriority w:val="39"/>
    <w:semiHidden/>
    <w:unhideWhenUsed/>
    <w:rsid w:val="0034694B"/>
    <w:pPr>
      <w:spacing w:before="0"/>
      <w:ind w:firstLine="0"/>
      <w:jc w:val="left"/>
    </w:pPr>
    <w:rPr>
      <w:rFonts w:asciiTheme="minorHAnsi" w:hAnsiTheme="minorHAnsi" w:cstheme="minorHAnsi"/>
      <w:b/>
      <w:bCs/>
      <w:smallCaps/>
      <w:sz w:val="22"/>
      <w:szCs w:val="22"/>
    </w:rPr>
  </w:style>
  <w:style w:type="paragraph" w:styleId="TOC3">
    <w:name w:val="toc 3"/>
    <w:basedOn w:val="Normal"/>
    <w:next w:val="Normal"/>
    <w:autoRedefine/>
    <w:uiPriority w:val="39"/>
    <w:semiHidden/>
    <w:unhideWhenUsed/>
    <w:rsid w:val="0034694B"/>
    <w:pPr>
      <w:spacing w:before="0"/>
      <w:ind w:firstLine="0"/>
      <w:jc w:val="left"/>
    </w:pPr>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34694B"/>
    <w:pPr>
      <w:spacing w:before="0"/>
      <w:ind w:firstLine="0"/>
      <w:jc w:val="left"/>
    </w:pPr>
    <w:rPr>
      <w:rFonts w:asciiTheme="minorHAnsi" w:hAnsiTheme="minorHAnsi" w:cstheme="minorHAnsi"/>
      <w:sz w:val="22"/>
      <w:szCs w:val="22"/>
    </w:rPr>
  </w:style>
  <w:style w:type="paragraph" w:styleId="TOC5">
    <w:name w:val="toc 5"/>
    <w:basedOn w:val="Normal"/>
    <w:next w:val="Normal"/>
    <w:autoRedefine/>
    <w:uiPriority w:val="39"/>
    <w:semiHidden/>
    <w:unhideWhenUsed/>
    <w:rsid w:val="0034694B"/>
    <w:pPr>
      <w:spacing w:before="0"/>
      <w:ind w:firstLine="0"/>
      <w:jc w:val="left"/>
    </w:pPr>
    <w:rPr>
      <w:rFonts w:asciiTheme="minorHAnsi" w:hAnsiTheme="minorHAnsi" w:cstheme="minorHAnsi"/>
      <w:sz w:val="22"/>
      <w:szCs w:val="22"/>
    </w:rPr>
  </w:style>
  <w:style w:type="paragraph" w:styleId="TOC6">
    <w:name w:val="toc 6"/>
    <w:basedOn w:val="Normal"/>
    <w:next w:val="Normal"/>
    <w:autoRedefine/>
    <w:uiPriority w:val="39"/>
    <w:semiHidden/>
    <w:unhideWhenUsed/>
    <w:rsid w:val="0034694B"/>
    <w:pPr>
      <w:spacing w:before="0"/>
      <w:ind w:firstLine="0"/>
      <w:jc w:val="left"/>
    </w:pPr>
    <w:rPr>
      <w:rFonts w:asciiTheme="minorHAnsi" w:hAnsiTheme="minorHAnsi" w:cstheme="minorHAnsi"/>
      <w:sz w:val="22"/>
      <w:szCs w:val="22"/>
    </w:rPr>
  </w:style>
  <w:style w:type="paragraph" w:styleId="TOC7">
    <w:name w:val="toc 7"/>
    <w:basedOn w:val="Normal"/>
    <w:next w:val="Normal"/>
    <w:autoRedefine/>
    <w:uiPriority w:val="39"/>
    <w:semiHidden/>
    <w:unhideWhenUsed/>
    <w:rsid w:val="0034694B"/>
    <w:pPr>
      <w:spacing w:before="0"/>
      <w:ind w:firstLine="0"/>
      <w:jc w:val="left"/>
    </w:pPr>
    <w:rPr>
      <w:rFonts w:asciiTheme="minorHAnsi" w:hAnsiTheme="minorHAnsi" w:cstheme="minorHAnsi"/>
      <w:sz w:val="22"/>
      <w:szCs w:val="22"/>
    </w:rPr>
  </w:style>
  <w:style w:type="paragraph" w:styleId="TOC8">
    <w:name w:val="toc 8"/>
    <w:basedOn w:val="Normal"/>
    <w:next w:val="Normal"/>
    <w:autoRedefine/>
    <w:uiPriority w:val="39"/>
    <w:semiHidden/>
    <w:unhideWhenUsed/>
    <w:rsid w:val="0034694B"/>
    <w:pPr>
      <w:spacing w:before="0"/>
      <w:ind w:firstLine="0"/>
      <w:jc w:val="left"/>
    </w:pPr>
    <w:rPr>
      <w:rFonts w:asciiTheme="minorHAnsi" w:hAnsiTheme="minorHAnsi" w:cstheme="minorHAnsi"/>
      <w:sz w:val="22"/>
      <w:szCs w:val="22"/>
    </w:rPr>
  </w:style>
  <w:style w:type="paragraph" w:styleId="TOC9">
    <w:name w:val="toc 9"/>
    <w:basedOn w:val="Normal"/>
    <w:next w:val="Normal"/>
    <w:autoRedefine/>
    <w:uiPriority w:val="39"/>
    <w:semiHidden/>
    <w:unhideWhenUsed/>
    <w:rsid w:val="0034694B"/>
    <w:pPr>
      <w:spacing w:before="0"/>
      <w:ind w:firstLine="0"/>
      <w:jc w:val="left"/>
    </w:pPr>
    <w:rPr>
      <w:rFonts w:asciiTheme="minorHAnsi" w:hAnsiTheme="minorHAnsi" w:cstheme="minorHAnsi"/>
      <w:sz w:val="22"/>
      <w:szCs w:val="22"/>
    </w:rPr>
  </w:style>
  <w:style w:type="paragraph" w:styleId="NormalWeb">
    <w:name w:val="Normal (Web)"/>
    <w:basedOn w:val="Normal"/>
    <w:uiPriority w:val="99"/>
    <w:semiHidden/>
    <w:unhideWhenUsed/>
    <w:rsid w:val="00CF6837"/>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table" w:customStyle="1" w:styleId="1">
    <w:name w:val="רשת טבלה1"/>
    <w:basedOn w:val="TableNormal"/>
    <w:next w:val="TableGrid"/>
    <w:uiPriority w:val="39"/>
    <w:rsid w:val="00E56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rofile/Meir-Statman/publication/228741949_Socially_responsible_indexes_Composition_performance_and_tracking_errors/links/554e06db08ae93634ec6ff63/Socially-responsible-indexes-Composition-performance-and-tracking-errors.pdf" TargetMode="External"/><Relationship Id="rId2" Type="http://schemas.openxmlformats.org/officeDocument/2006/relationships/hyperlink" Target="https://www.cfapubs.org/doi/full/10.2469/dig.v31.n2.879" TargetMode="External"/><Relationship Id="rId1" Type="http://schemas.openxmlformats.org/officeDocument/2006/relationships/hyperlink" Target="https://www.unep.org/emissions-gap-report-20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FF3D-0B55-1F44-8709-75E55ED6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8020</Words>
  <Characters>45714</Characters>
  <Application>Microsoft Office Word</Application>
  <DocSecurity>0</DocSecurity>
  <Lines>380</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נאדין ותד</dc:creator>
  <cp:keywords/>
  <dc:description/>
  <cp:lastModifiedBy>Abed Alrahman Mahamid</cp:lastModifiedBy>
  <cp:revision>2</cp:revision>
  <dcterms:created xsi:type="dcterms:W3CDTF">2021-05-30T20:00:00Z</dcterms:created>
  <dcterms:modified xsi:type="dcterms:W3CDTF">2021-05-30T20:00:00Z</dcterms:modified>
</cp:coreProperties>
</file>