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71" w:rsidRPr="0025710F" w:rsidRDefault="002C6338" w:rsidP="000379C0">
      <w:pPr>
        <w:spacing w:line="360" w:lineRule="auto"/>
        <w:jc w:val="center"/>
        <w:rPr>
          <w:rFonts w:ascii="David" w:hAnsi="David" w:cs="David"/>
          <w:b/>
          <w:bCs/>
          <w:sz w:val="24"/>
          <w:szCs w:val="24"/>
          <w:u w:val="single"/>
          <w:rtl/>
        </w:rPr>
      </w:pPr>
      <w:r w:rsidRPr="0025710F">
        <w:rPr>
          <w:rFonts w:ascii="David" w:hAnsi="David" w:cs="David"/>
          <w:b/>
          <w:bCs/>
          <w:sz w:val="24"/>
          <w:szCs w:val="24"/>
          <w:u w:val="single"/>
          <w:rtl/>
        </w:rPr>
        <w:t xml:space="preserve">ולנתע </w:t>
      </w:r>
      <w:r w:rsidR="000379C0">
        <w:rPr>
          <w:rFonts w:ascii="David" w:hAnsi="David" w:cs="David" w:hint="cs"/>
          <w:b/>
          <w:bCs/>
          <w:sz w:val="24"/>
          <w:szCs w:val="24"/>
          <w:u w:val="single"/>
          <w:rtl/>
        </w:rPr>
        <w:t>22.10</w:t>
      </w:r>
      <w:r w:rsidRPr="0025710F">
        <w:rPr>
          <w:rFonts w:ascii="David" w:hAnsi="David" w:cs="David"/>
          <w:b/>
          <w:bCs/>
          <w:sz w:val="24"/>
          <w:szCs w:val="24"/>
          <w:u w:val="single"/>
          <w:rtl/>
        </w:rPr>
        <w:t>.</w:t>
      </w:r>
      <w:r w:rsidR="00162061">
        <w:rPr>
          <w:rFonts w:ascii="David" w:hAnsi="David" w:cs="David" w:hint="cs"/>
          <w:b/>
          <w:bCs/>
          <w:sz w:val="24"/>
          <w:szCs w:val="24"/>
          <w:u w:val="single"/>
          <w:rtl/>
        </w:rPr>
        <w:t>2019</w:t>
      </w:r>
      <w:r w:rsidRPr="0025710F">
        <w:rPr>
          <w:rFonts w:ascii="David" w:hAnsi="David" w:cs="David"/>
          <w:b/>
          <w:bCs/>
          <w:sz w:val="24"/>
          <w:szCs w:val="24"/>
          <w:u w:val="single"/>
          <w:rtl/>
        </w:rPr>
        <w:t>- סיכום</w:t>
      </w:r>
    </w:p>
    <w:p w:rsidR="00B516D9" w:rsidRPr="00B516D9" w:rsidRDefault="00EB1041" w:rsidP="00B516D9">
      <w:pPr>
        <w:tabs>
          <w:tab w:val="left" w:pos="1636"/>
        </w:tabs>
        <w:spacing w:line="360" w:lineRule="auto"/>
        <w:rPr>
          <w:rFonts w:ascii="David" w:hAnsi="David" w:cs="David"/>
          <w:sz w:val="24"/>
          <w:szCs w:val="24"/>
        </w:rPr>
      </w:pPr>
      <w:r w:rsidRPr="0025710F">
        <w:rPr>
          <w:rFonts w:ascii="David" w:hAnsi="David" w:cs="David"/>
          <w:sz w:val="24"/>
          <w:szCs w:val="24"/>
          <w:rtl/>
        </w:rPr>
        <w:t xml:space="preserve"> </w:t>
      </w:r>
    </w:p>
    <w:p w:rsidR="00B516D9" w:rsidRPr="00B516D9" w:rsidRDefault="00B516D9" w:rsidP="000379C0">
      <w:pPr>
        <w:tabs>
          <w:tab w:val="left" w:pos="1636"/>
        </w:tabs>
        <w:spacing w:line="360" w:lineRule="auto"/>
        <w:rPr>
          <w:rFonts w:ascii="David" w:hAnsi="David" w:cs="David"/>
          <w:sz w:val="24"/>
          <w:szCs w:val="24"/>
          <w:rtl/>
        </w:rPr>
      </w:pPr>
      <w:r w:rsidRPr="00B516D9">
        <w:rPr>
          <w:rFonts w:ascii="David" w:hAnsi="David" w:cs="David"/>
          <w:b/>
          <w:bCs/>
          <w:sz w:val="24"/>
          <w:szCs w:val="24"/>
          <w:rtl/>
        </w:rPr>
        <w:t> </w:t>
      </w:r>
      <w:r w:rsidR="000379C0">
        <w:rPr>
          <w:noProof/>
        </w:rPr>
        <w:drawing>
          <wp:inline distT="0" distB="0" distL="0" distR="0" wp14:anchorId="09A1F14C" wp14:editId="5C998F34">
            <wp:extent cx="5274310" cy="494030"/>
            <wp:effectExtent l="0" t="0" r="2540" b="127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94030"/>
                    </a:xfrm>
                    <a:prstGeom prst="rect">
                      <a:avLst/>
                    </a:prstGeom>
                  </pic:spPr>
                </pic:pic>
              </a:graphicData>
            </a:graphic>
          </wp:inline>
        </w:drawing>
      </w:r>
    </w:p>
    <w:p w:rsidR="000379C0" w:rsidRPr="000379C0" w:rsidRDefault="000379C0" w:rsidP="000379C0">
      <w:pPr>
        <w:tabs>
          <w:tab w:val="left" w:pos="1636"/>
        </w:tabs>
        <w:spacing w:line="360" w:lineRule="auto"/>
        <w:rPr>
          <w:rFonts w:ascii="David" w:hAnsi="David" w:cs="David"/>
          <w:sz w:val="24"/>
          <w:szCs w:val="24"/>
        </w:rPr>
      </w:pPr>
      <w:r w:rsidRPr="000379C0">
        <w:rPr>
          <w:rFonts w:ascii="David" w:hAnsi="David" w:cs="David"/>
          <w:sz w:val="24"/>
          <w:szCs w:val="24"/>
          <w:rtl/>
        </w:rPr>
        <w:t xml:space="preserve">תמ"א 10/ א /1/ 13: הוספת יחידות יצור </w:t>
      </w:r>
    </w:p>
    <w:p w:rsidR="000379C0" w:rsidRPr="000379C0" w:rsidRDefault="000379C0" w:rsidP="000379C0">
      <w:pPr>
        <w:tabs>
          <w:tab w:val="left" w:pos="1636"/>
        </w:tabs>
        <w:spacing w:line="360" w:lineRule="auto"/>
        <w:rPr>
          <w:rFonts w:ascii="David" w:hAnsi="David" w:cs="David"/>
          <w:sz w:val="24"/>
          <w:szCs w:val="24"/>
        </w:rPr>
      </w:pPr>
      <w:r w:rsidRPr="000379C0">
        <w:rPr>
          <w:rFonts w:ascii="David" w:hAnsi="David" w:cs="David"/>
          <w:sz w:val="24"/>
          <w:szCs w:val="24"/>
          <w:rtl/>
        </w:rPr>
        <w:t xml:space="preserve">במחזור משולב באתר תחנת </w:t>
      </w:r>
      <w:proofErr w:type="spellStart"/>
      <w:r w:rsidRPr="000379C0">
        <w:rPr>
          <w:rFonts w:ascii="David" w:hAnsi="David" w:cs="David"/>
          <w:sz w:val="24"/>
          <w:szCs w:val="24"/>
          <w:rtl/>
        </w:rPr>
        <w:t>הכח</w:t>
      </w:r>
      <w:proofErr w:type="spellEnd"/>
      <w:r w:rsidRPr="000379C0">
        <w:rPr>
          <w:rFonts w:ascii="David" w:hAnsi="David" w:cs="David"/>
          <w:sz w:val="24"/>
          <w:szCs w:val="24"/>
          <w:rtl/>
        </w:rPr>
        <w:t xml:space="preserve"> 'אורות רבין'  </w:t>
      </w:r>
    </w:p>
    <w:p w:rsidR="000379C0" w:rsidRPr="000379C0" w:rsidRDefault="000379C0" w:rsidP="000379C0">
      <w:pPr>
        <w:tabs>
          <w:tab w:val="left" w:pos="1636"/>
        </w:tabs>
        <w:spacing w:line="360" w:lineRule="auto"/>
        <w:rPr>
          <w:rFonts w:ascii="David" w:hAnsi="David" w:cs="David"/>
          <w:sz w:val="24"/>
          <w:szCs w:val="24"/>
        </w:rPr>
      </w:pPr>
      <w:r w:rsidRPr="000379C0">
        <w:rPr>
          <w:rFonts w:ascii="David" w:hAnsi="David" w:cs="David"/>
          <w:sz w:val="24"/>
          <w:szCs w:val="24"/>
          <w:rtl/>
        </w:rPr>
        <w:t xml:space="preserve">אתר "אורות רבין", נמצא בסמוך לחדרה וכולל שש יחידות ייצור פחמיות. יחידות 1-4 הוקמו בתחילת שנות ה-80, ויחידות 5-6 הינן יחידות חדשות יותר והותקנו בהן </w:t>
      </w:r>
      <w:proofErr w:type="spellStart"/>
      <w:r w:rsidRPr="000379C0">
        <w:rPr>
          <w:rFonts w:ascii="David" w:hAnsi="David" w:cs="David"/>
          <w:sz w:val="24"/>
          <w:szCs w:val="24"/>
          <w:rtl/>
        </w:rPr>
        <w:t>סולקנים</w:t>
      </w:r>
      <w:proofErr w:type="spellEnd"/>
      <w:r w:rsidRPr="000379C0">
        <w:rPr>
          <w:rFonts w:ascii="David" w:hAnsi="David" w:cs="David"/>
          <w:sz w:val="24"/>
          <w:szCs w:val="24"/>
          <w:rtl/>
        </w:rPr>
        <w:t xml:space="preserve"> להפחתת הפליטות ולמזעור השפעתן הסביבתית. סך הספק הייצור הקיים באתר הוא כ-2,500 מגוואט. </w:t>
      </w:r>
    </w:p>
    <w:p w:rsidR="000379C0" w:rsidRPr="000379C0" w:rsidRDefault="000379C0" w:rsidP="000379C0">
      <w:pPr>
        <w:tabs>
          <w:tab w:val="left" w:pos="1636"/>
        </w:tabs>
        <w:spacing w:line="360" w:lineRule="auto"/>
        <w:rPr>
          <w:rFonts w:ascii="David" w:hAnsi="David" w:cs="David"/>
          <w:sz w:val="24"/>
          <w:szCs w:val="24"/>
        </w:rPr>
      </w:pPr>
      <w:r w:rsidRPr="000379C0">
        <w:rPr>
          <w:rFonts w:ascii="David" w:hAnsi="David" w:cs="David"/>
          <w:sz w:val="24"/>
          <w:szCs w:val="24"/>
          <w:rtl/>
        </w:rPr>
        <w:t>החלטת הממשלה מס' 3859 מיום 3.6.18 בדבר הרפורמה במשק החשמל קובעת כי יוקמו שתי יחידות ייצור במחזור משולב (</w:t>
      </w:r>
      <w:proofErr w:type="spellStart"/>
      <w:r w:rsidRPr="000379C0">
        <w:rPr>
          <w:rFonts w:ascii="David" w:hAnsi="David" w:cs="David"/>
          <w:sz w:val="24"/>
          <w:szCs w:val="24"/>
          <w:rtl/>
        </w:rPr>
        <w:t>מחז"מים</w:t>
      </w:r>
      <w:proofErr w:type="spellEnd"/>
      <w:r w:rsidRPr="000379C0">
        <w:rPr>
          <w:rFonts w:ascii="David" w:hAnsi="David" w:cs="David"/>
          <w:sz w:val="24"/>
          <w:szCs w:val="24"/>
          <w:rtl/>
        </w:rPr>
        <w:t xml:space="preserve">) שיפעלו באמצעות גז טבעי באתר "אורות רבין". בהחלטת הממשלה מס' 4080 מיום 29.7.18 נקבע כי תופסק הפעלתן השוטפת של יחידות 1-4 באתר "אורות רבין" בכפוף להקמת שני </w:t>
      </w:r>
      <w:proofErr w:type="spellStart"/>
      <w:r w:rsidRPr="000379C0">
        <w:rPr>
          <w:rFonts w:ascii="David" w:hAnsi="David" w:cs="David"/>
          <w:sz w:val="24"/>
          <w:szCs w:val="24"/>
          <w:rtl/>
        </w:rPr>
        <w:t>מחז"מים</w:t>
      </w:r>
      <w:proofErr w:type="spellEnd"/>
      <w:r w:rsidRPr="000379C0">
        <w:rPr>
          <w:rFonts w:ascii="David" w:hAnsi="David" w:cs="David"/>
          <w:sz w:val="24"/>
          <w:szCs w:val="24"/>
          <w:rtl/>
        </w:rPr>
        <w:t xml:space="preserve"> חליפיים בהספק של כ-1,200 מגוואט, כאשר </w:t>
      </w:r>
      <w:proofErr w:type="spellStart"/>
      <w:r w:rsidRPr="000379C0">
        <w:rPr>
          <w:rFonts w:ascii="David" w:hAnsi="David" w:cs="David"/>
          <w:sz w:val="24"/>
          <w:szCs w:val="24"/>
          <w:rtl/>
        </w:rPr>
        <w:t>המחז"מ</w:t>
      </w:r>
      <w:proofErr w:type="spellEnd"/>
      <w:r w:rsidRPr="000379C0">
        <w:rPr>
          <w:rFonts w:ascii="David" w:hAnsi="David" w:cs="David"/>
          <w:sz w:val="24"/>
          <w:szCs w:val="24"/>
          <w:rtl/>
        </w:rPr>
        <w:t xml:space="preserve"> הראשון צפוי להיות מופעל בחודש יוני 2022. </w:t>
      </w:r>
    </w:p>
    <w:p w:rsidR="000379C0" w:rsidRPr="000379C0" w:rsidRDefault="000379C0" w:rsidP="001D58DE">
      <w:pPr>
        <w:tabs>
          <w:tab w:val="left" w:pos="1636"/>
        </w:tabs>
        <w:spacing w:line="360" w:lineRule="auto"/>
        <w:rPr>
          <w:rFonts w:ascii="David" w:hAnsi="David" w:cs="David"/>
          <w:sz w:val="24"/>
          <w:szCs w:val="24"/>
        </w:rPr>
      </w:pPr>
      <w:r w:rsidRPr="000379C0">
        <w:rPr>
          <w:rFonts w:ascii="David" w:hAnsi="David" w:cs="David"/>
          <w:sz w:val="24"/>
          <w:szCs w:val="24"/>
          <w:rtl/>
        </w:rPr>
        <w:t xml:space="preserve">בהתאם לאמור, החליטה המועצה הארצית בישיבתה מיום 4.9.18 להורות על קידום תכנית להוספת יחידות ייצור במחזור משולב באתר תחנת הכוח אורות רבין, ואישרה את ההנחיות לעריכת תסקיר השפעה על הסביבה. </w:t>
      </w:r>
    </w:p>
    <w:p w:rsidR="000379C0" w:rsidRPr="000379C0" w:rsidRDefault="000379C0" w:rsidP="000379C0">
      <w:pPr>
        <w:tabs>
          <w:tab w:val="left" w:pos="1636"/>
        </w:tabs>
        <w:spacing w:line="360" w:lineRule="auto"/>
        <w:rPr>
          <w:rFonts w:ascii="David" w:hAnsi="David" w:cs="David"/>
          <w:sz w:val="24"/>
          <w:szCs w:val="24"/>
        </w:rPr>
      </w:pPr>
      <w:r w:rsidRPr="000379C0">
        <w:rPr>
          <w:rFonts w:ascii="David" w:hAnsi="David" w:cs="David"/>
          <w:sz w:val="24"/>
          <w:szCs w:val="24"/>
          <w:rtl/>
        </w:rPr>
        <w:t>מטרת הדיון:</w:t>
      </w:r>
    </w:p>
    <w:p w:rsidR="001266FB" w:rsidRDefault="000379C0" w:rsidP="001D58DE">
      <w:pPr>
        <w:tabs>
          <w:tab w:val="left" w:pos="1636"/>
        </w:tabs>
        <w:spacing w:line="360" w:lineRule="auto"/>
        <w:rPr>
          <w:rFonts w:ascii="David" w:hAnsi="David" w:cs="David"/>
          <w:sz w:val="24"/>
          <w:szCs w:val="24"/>
          <w:rtl/>
        </w:rPr>
      </w:pPr>
      <w:r w:rsidRPr="000379C0">
        <w:rPr>
          <w:rFonts w:ascii="David" w:hAnsi="David" w:cs="David"/>
          <w:sz w:val="24"/>
          <w:szCs w:val="24"/>
          <w:rtl/>
        </w:rPr>
        <w:t>דיון בשמיעת הערות הוועדות</w:t>
      </w:r>
      <w:r>
        <w:rPr>
          <w:rFonts w:ascii="David" w:hAnsi="David" w:cs="David" w:hint="cs"/>
          <w:sz w:val="24"/>
          <w:szCs w:val="24"/>
          <w:rtl/>
        </w:rPr>
        <w:t xml:space="preserve"> </w:t>
      </w:r>
      <w:r w:rsidRPr="000379C0">
        <w:rPr>
          <w:rFonts w:ascii="David" w:hAnsi="David" w:cs="David"/>
          <w:sz w:val="24"/>
          <w:szCs w:val="24"/>
          <w:rtl/>
        </w:rPr>
        <w:t>המחוזיות והשגות הציבור.</w:t>
      </w:r>
      <w:r>
        <w:rPr>
          <w:rFonts w:ascii="David" w:hAnsi="David" w:cs="David" w:hint="cs"/>
          <w:sz w:val="24"/>
          <w:szCs w:val="24"/>
          <w:rtl/>
        </w:rPr>
        <w:t xml:space="preserve"> </w:t>
      </w:r>
    </w:p>
    <w:p w:rsidR="000379C0" w:rsidRDefault="000379C0" w:rsidP="001266FB">
      <w:pPr>
        <w:tabs>
          <w:tab w:val="left" w:pos="1636"/>
        </w:tabs>
        <w:spacing w:line="360" w:lineRule="auto"/>
        <w:rPr>
          <w:rFonts w:ascii="David" w:hAnsi="David" w:cs="David"/>
          <w:sz w:val="24"/>
          <w:szCs w:val="24"/>
          <w:rtl/>
        </w:rPr>
      </w:pPr>
      <w:r>
        <w:rPr>
          <w:rFonts w:ascii="David" w:hAnsi="David" w:cs="David" w:hint="cs"/>
          <w:sz w:val="24"/>
          <w:szCs w:val="24"/>
          <w:rtl/>
        </w:rPr>
        <w:t xml:space="preserve">הדיון הזה היה רק דיון פומבי ללא החלטות התקיים דיון נוסף בהמשך. בכל מקרה מסתבר שאת הדוח האקוסטי </w:t>
      </w:r>
      <w:proofErr w:type="spellStart"/>
      <w:r w:rsidR="001266FB">
        <w:rPr>
          <w:rFonts w:ascii="David" w:hAnsi="David" w:cs="David" w:hint="cs"/>
          <w:sz w:val="24"/>
          <w:szCs w:val="24"/>
          <w:rtl/>
        </w:rPr>
        <w:t>הגנ"ס</w:t>
      </w:r>
      <w:proofErr w:type="spellEnd"/>
      <w:r w:rsidR="001266FB">
        <w:rPr>
          <w:rFonts w:ascii="David" w:hAnsi="David" w:cs="David" w:hint="cs"/>
          <w:sz w:val="24"/>
          <w:szCs w:val="24"/>
          <w:rtl/>
        </w:rPr>
        <w:t xml:space="preserve"> קיבלו רק לפני מספר ימים ולכן יש קושי בהתייחסו</w:t>
      </w:r>
      <w:r w:rsidR="001266FB">
        <w:rPr>
          <w:rFonts w:ascii="David" w:hAnsi="David" w:cs="David" w:hint="eastAsia"/>
          <w:sz w:val="24"/>
          <w:szCs w:val="24"/>
          <w:rtl/>
        </w:rPr>
        <w:t>ת</w:t>
      </w:r>
      <w:r w:rsidR="001266FB">
        <w:rPr>
          <w:rFonts w:ascii="David" w:hAnsi="David" w:cs="David" w:hint="cs"/>
          <w:sz w:val="24"/>
          <w:szCs w:val="24"/>
          <w:rtl/>
        </w:rPr>
        <w:t xml:space="preserve"> שלהם ובנוסף, חברת חשמל לא בחנה את נושא הרעש בראיה כוללת לדוגמה היא לא התייחסה לרעש של מתקן ההתפלה ועוד.  </w:t>
      </w:r>
    </w:p>
    <w:p w:rsidR="000379C0" w:rsidRDefault="000379C0" w:rsidP="000379C0">
      <w:pPr>
        <w:tabs>
          <w:tab w:val="left" w:pos="1636"/>
        </w:tabs>
        <w:spacing w:line="360" w:lineRule="auto"/>
        <w:rPr>
          <w:rFonts w:ascii="David" w:hAnsi="David" w:cs="David"/>
          <w:sz w:val="24"/>
          <w:szCs w:val="24"/>
          <w:rtl/>
        </w:rPr>
      </w:pPr>
    </w:p>
    <w:p w:rsidR="001D58DE" w:rsidRDefault="001D58DE" w:rsidP="000379C0">
      <w:pPr>
        <w:tabs>
          <w:tab w:val="left" w:pos="1636"/>
        </w:tabs>
        <w:spacing w:line="360" w:lineRule="auto"/>
        <w:rPr>
          <w:rFonts w:ascii="David" w:hAnsi="David" w:cs="David"/>
          <w:sz w:val="24"/>
          <w:szCs w:val="24"/>
          <w:rtl/>
        </w:rPr>
      </w:pPr>
    </w:p>
    <w:p w:rsidR="001D58DE" w:rsidRDefault="001D58DE" w:rsidP="000379C0">
      <w:pPr>
        <w:tabs>
          <w:tab w:val="left" w:pos="1636"/>
        </w:tabs>
        <w:spacing w:line="360" w:lineRule="auto"/>
        <w:rPr>
          <w:rFonts w:ascii="David" w:hAnsi="David" w:cs="David"/>
          <w:sz w:val="24"/>
          <w:szCs w:val="24"/>
          <w:rtl/>
        </w:rPr>
      </w:pPr>
    </w:p>
    <w:p w:rsidR="001D58DE" w:rsidRPr="000379C0" w:rsidRDefault="001D58DE" w:rsidP="000379C0">
      <w:pPr>
        <w:tabs>
          <w:tab w:val="left" w:pos="1636"/>
        </w:tabs>
        <w:spacing w:line="360" w:lineRule="auto"/>
        <w:rPr>
          <w:rFonts w:ascii="David" w:hAnsi="David" w:cs="David"/>
          <w:sz w:val="24"/>
          <w:szCs w:val="24"/>
        </w:rPr>
      </w:pPr>
      <w:bookmarkStart w:id="0" w:name="_GoBack"/>
      <w:bookmarkEnd w:id="0"/>
    </w:p>
    <w:p w:rsidR="00937EA1" w:rsidRDefault="00937EA1" w:rsidP="0042003A">
      <w:pPr>
        <w:tabs>
          <w:tab w:val="left" w:pos="1636"/>
        </w:tabs>
        <w:spacing w:line="360" w:lineRule="auto"/>
        <w:rPr>
          <w:rFonts w:ascii="David" w:hAnsi="David" w:cs="David"/>
          <w:sz w:val="24"/>
          <w:szCs w:val="24"/>
          <w:rtl/>
        </w:rPr>
      </w:pPr>
    </w:p>
    <w:p w:rsidR="001266FB" w:rsidRDefault="001266FB" w:rsidP="0042003A">
      <w:pPr>
        <w:tabs>
          <w:tab w:val="left" w:pos="1636"/>
        </w:tabs>
        <w:spacing w:line="360" w:lineRule="auto"/>
        <w:rPr>
          <w:rFonts w:ascii="David" w:hAnsi="David" w:cs="David"/>
          <w:sz w:val="24"/>
          <w:szCs w:val="24"/>
          <w:rtl/>
        </w:rPr>
      </w:pPr>
    </w:p>
    <w:p w:rsidR="001266FB" w:rsidRDefault="001266FB" w:rsidP="001D58DE">
      <w:pPr>
        <w:tabs>
          <w:tab w:val="left" w:pos="1636"/>
        </w:tabs>
        <w:spacing w:line="360" w:lineRule="auto"/>
        <w:rPr>
          <w:rFonts w:ascii="David" w:hAnsi="David" w:cs="David"/>
          <w:sz w:val="24"/>
          <w:szCs w:val="24"/>
          <w:rtl/>
        </w:rPr>
      </w:pPr>
      <w:r>
        <w:rPr>
          <w:noProof/>
        </w:rPr>
        <w:lastRenderedPageBreak/>
        <w:drawing>
          <wp:inline distT="0" distB="0" distL="0" distR="0" wp14:anchorId="1C1FBC8C" wp14:editId="65EE72F7">
            <wp:extent cx="5274310" cy="573405"/>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573405"/>
                    </a:xfrm>
                    <a:prstGeom prst="rect">
                      <a:avLst/>
                    </a:prstGeom>
                  </pic:spPr>
                </pic:pic>
              </a:graphicData>
            </a:graphic>
          </wp:inline>
        </w:drawing>
      </w:r>
    </w:p>
    <w:p w:rsidR="001D58DE" w:rsidRDefault="001266FB" w:rsidP="001266FB">
      <w:pPr>
        <w:rPr>
          <w:rFonts w:ascii="David" w:hAnsi="David" w:cs="David"/>
          <w:sz w:val="24"/>
          <w:szCs w:val="24"/>
          <w:rtl/>
        </w:rPr>
      </w:pPr>
      <w:r>
        <w:rPr>
          <w:rFonts w:ascii="David" w:hAnsi="David" w:cs="David" w:hint="cs"/>
          <w:sz w:val="24"/>
          <w:szCs w:val="24"/>
          <w:rtl/>
        </w:rPr>
        <w:t xml:space="preserve">הדיון היה סביב כך שש בעיה להמשיך במתכונת של תמ"א 38 גם מבחינה תכנונית וגם מבחינה </w:t>
      </w:r>
      <w:r w:rsidR="001D58DE">
        <w:rPr>
          <w:rFonts w:ascii="David" w:hAnsi="David" w:cs="David" w:hint="cs"/>
          <w:sz w:val="24"/>
          <w:szCs w:val="24"/>
          <w:rtl/>
        </w:rPr>
        <w:t>חיזוק המבנים</w:t>
      </w:r>
    </w:p>
    <w:p w:rsidR="001266FB" w:rsidRDefault="001D58DE" w:rsidP="001266FB">
      <w:pPr>
        <w:rPr>
          <w:rFonts w:ascii="David" w:hAnsi="David" w:cs="David"/>
          <w:sz w:val="24"/>
          <w:szCs w:val="24"/>
          <w:rtl/>
        </w:rPr>
      </w:pPr>
      <w:r>
        <w:rPr>
          <w:rFonts w:ascii="David" w:hAnsi="David" w:cs="David" w:hint="cs"/>
          <w:sz w:val="24"/>
          <w:szCs w:val="24"/>
          <w:rtl/>
        </w:rPr>
        <w:t xml:space="preserve">לפי הדיון  </w:t>
      </w:r>
      <w:proofErr w:type="spellStart"/>
      <w:r>
        <w:rPr>
          <w:rFonts w:ascii="David" w:hAnsi="David" w:cs="David" w:hint="cs"/>
          <w:sz w:val="24"/>
          <w:szCs w:val="24"/>
          <w:rtl/>
        </w:rPr>
        <w:t>בולנת"ע</w:t>
      </w:r>
      <w:proofErr w:type="spellEnd"/>
      <w:r>
        <w:rPr>
          <w:rFonts w:ascii="David" w:hAnsi="David" w:cs="David" w:hint="cs"/>
          <w:sz w:val="24"/>
          <w:szCs w:val="24"/>
          <w:rtl/>
        </w:rPr>
        <w:t xml:space="preserve"> </w:t>
      </w:r>
      <w:r w:rsidR="001266FB">
        <w:rPr>
          <w:rFonts w:ascii="David" w:hAnsi="David" w:cs="David" w:hint="cs"/>
          <w:sz w:val="24"/>
          <w:szCs w:val="24"/>
          <w:rtl/>
        </w:rPr>
        <w:t xml:space="preserve"> </w:t>
      </w:r>
      <w:proofErr w:type="spellStart"/>
      <w:r w:rsidR="001266FB" w:rsidRPr="001266FB">
        <w:rPr>
          <w:rFonts w:ascii="David" w:hAnsi="David" w:cs="David"/>
          <w:sz w:val="24"/>
          <w:szCs w:val="24"/>
          <w:rtl/>
        </w:rPr>
        <w:t>התמ"א</w:t>
      </w:r>
      <w:proofErr w:type="spellEnd"/>
      <w:r w:rsidR="001266FB" w:rsidRPr="001266FB">
        <w:rPr>
          <w:rFonts w:ascii="David" w:hAnsi="David" w:cs="David"/>
          <w:sz w:val="24"/>
          <w:szCs w:val="24"/>
          <w:rtl/>
        </w:rPr>
        <w:t xml:space="preserve"> במתכונתה הנוכחית לא השיגה את המטרה המרכזית שלשמה היא הוקמה- חיזוק מבנים מפני רעידות אדמה. מהנתונים שהוצגו בפני הוועדה, עולה, כי </w:t>
      </w:r>
      <w:proofErr w:type="spellStart"/>
      <w:r w:rsidR="001266FB" w:rsidRPr="001266FB">
        <w:rPr>
          <w:rFonts w:ascii="David" w:hAnsi="David" w:cs="David"/>
          <w:sz w:val="24"/>
          <w:szCs w:val="24"/>
          <w:rtl/>
        </w:rPr>
        <w:t>התמ"א</w:t>
      </w:r>
      <w:proofErr w:type="spellEnd"/>
      <w:r w:rsidR="001266FB" w:rsidRPr="001266FB">
        <w:rPr>
          <w:rFonts w:ascii="David" w:hAnsi="David" w:cs="David"/>
          <w:sz w:val="24"/>
          <w:szCs w:val="24"/>
          <w:rtl/>
        </w:rPr>
        <w:t xml:space="preserve"> כמעט ולא מיושמת באזורי הסיכון. </w:t>
      </w:r>
    </w:p>
    <w:p w:rsidR="001266FB" w:rsidRPr="001266FB" w:rsidRDefault="001266FB" w:rsidP="001266FB">
      <w:pPr>
        <w:rPr>
          <w:rFonts w:ascii="David" w:hAnsi="David" w:cs="David"/>
          <w:sz w:val="24"/>
          <w:szCs w:val="24"/>
          <w:rtl/>
        </w:rPr>
      </w:pPr>
      <w:proofErr w:type="spellStart"/>
      <w:r w:rsidRPr="001266FB">
        <w:rPr>
          <w:rFonts w:ascii="David" w:hAnsi="David" w:cs="David"/>
          <w:sz w:val="24"/>
          <w:szCs w:val="24"/>
          <w:rtl/>
        </w:rPr>
        <w:t>התמ"א</w:t>
      </w:r>
      <w:proofErr w:type="spellEnd"/>
      <w:r w:rsidRPr="001266FB">
        <w:rPr>
          <w:rFonts w:ascii="David" w:hAnsi="David" w:cs="David"/>
          <w:sz w:val="24"/>
          <w:szCs w:val="24"/>
          <w:rtl/>
        </w:rPr>
        <w:t xml:space="preserve"> לא השיגה את גם מבחינה תכנונית- </w:t>
      </w:r>
      <w:proofErr w:type="spellStart"/>
      <w:r w:rsidRPr="001266FB">
        <w:rPr>
          <w:rFonts w:ascii="David" w:hAnsi="David" w:cs="David"/>
          <w:sz w:val="24"/>
          <w:szCs w:val="24"/>
          <w:rtl/>
        </w:rPr>
        <w:t>התמ"א</w:t>
      </w:r>
      <w:proofErr w:type="spellEnd"/>
      <w:r w:rsidRPr="001266FB">
        <w:rPr>
          <w:rFonts w:ascii="David" w:hAnsi="David" w:cs="David"/>
          <w:sz w:val="24"/>
          <w:szCs w:val="24"/>
          <w:rtl/>
        </w:rPr>
        <w:t xml:space="preserve"> מאפשרת מתן היתר למגורים בלבד, זאת מבלי לתת מענה לתשתיות ולצורכי הציבור הדרושות לתושב. בנוסף, מתן היתר נקודתי לבניין הבודד, ללא ראייה תכנונית ברמת המתחם, יכול לסכל התחדשות עירונית במתחם כולו. </w:t>
      </w:r>
    </w:p>
    <w:p w:rsidR="001266FB" w:rsidRPr="001266FB" w:rsidRDefault="001D58DE" w:rsidP="001D58DE">
      <w:pPr>
        <w:rPr>
          <w:rFonts w:ascii="David" w:hAnsi="David" w:cs="David"/>
          <w:sz w:val="24"/>
          <w:szCs w:val="24"/>
          <w:rtl/>
        </w:rPr>
      </w:pPr>
      <w:r>
        <w:rPr>
          <w:rFonts w:ascii="David" w:hAnsi="David" w:cs="David" w:hint="cs"/>
          <w:sz w:val="24"/>
          <w:szCs w:val="24"/>
          <w:rtl/>
        </w:rPr>
        <w:t xml:space="preserve">לכן הוחלט </w:t>
      </w:r>
      <w:r w:rsidR="001266FB" w:rsidRPr="001266FB">
        <w:rPr>
          <w:rFonts w:ascii="David" w:hAnsi="David" w:cs="David"/>
          <w:sz w:val="24"/>
          <w:szCs w:val="24"/>
          <w:rtl/>
        </w:rPr>
        <w:t xml:space="preserve">על מועד הסיום של </w:t>
      </w:r>
      <w:proofErr w:type="spellStart"/>
      <w:r w:rsidR="001266FB" w:rsidRPr="001266FB">
        <w:rPr>
          <w:rFonts w:ascii="David" w:hAnsi="David" w:cs="David"/>
          <w:sz w:val="24"/>
          <w:szCs w:val="24"/>
          <w:rtl/>
        </w:rPr>
        <w:t>תוכנית</w:t>
      </w:r>
      <w:proofErr w:type="spellEnd"/>
      <w:r w:rsidR="001266FB" w:rsidRPr="001266FB">
        <w:rPr>
          <w:rFonts w:ascii="David" w:hAnsi="David" w:cs="David"/>
          <w:sz w:val="24"/>
          <w:szCs w:val="24"/>
          <w:rtl/>
        </w:rPr>
        <w:t xml:space="preserve"> המתאר הארצית לחיזוק מבנים קיימים בפני רעידות אדמה (תמ"א 38), ב-1 באוקטובר 2022. </w:t>
      </w:r>
      <w:r>
        <w:rPr>
          <w:rFonts w:ascii="David" w:hAnsi="David" w:cs="David" w:hint="cs"/>
          <w:sz w:val="24"/>
          <w:szCs w:val="24"/>
          <w:rtl/>
        </w:rPr>
        <w:t>עוד נאמר כי</w:t>
      </w:r>
      <w:r w:rsidR="001266FB" w:rsidRPr="001266FB">
        <w:rPr>
          <w:rFonts w:ascii="David" w:hAnsi="David" w:cs="David"/>
          <w:sz w:val="24"/>
          <w:szCs w:val="24"/>
          <w:rtl/>
        </w:rPr>
        <w:t xml:space="preserve"> המתווה הנכון לקידום חיזוק מבנים והתחדשות עירונית, הינו באמצעות תכניות מפורטות, שיכללו במידת האפשר מתחמים שלמים שתעשה במסגרת תכנית מתאר כללית להתחדשות עירונית שתחול על כלל מרחב התכנון המקומי. עם זאת, ולאור פרק הזמן הנדרש להגשת </w:t>
      </w:r>
      <w:proofErr w:type="spellStart"/>
      <w:r w:rsidR="001266FB" w:rsidRPr="001266FB">
        <w:rPr>
          <w:rFonts w:ascii="David" w:hAnsi="David" w:cs="David"/>
          <w:sz w:val="24"/>
          <w:szCs w:val="24"/>
          <w:rtl/>
        </w:rPr>
        <w:t>תוכנית</w:t>
      </w:r>
      <w:proofErr w:type="spellEnd"/>
      <w:r w:rsidR="001266FB" w:rsidRPr="001266FB">
        <w:rPr>
          <w:rFonts w:ascii="David" w:hAnsi="David" w:cs="David"/>
          <w:sz w:val="24"/>
          <w:szCs w:val="24"/>
          <w:rtl/>
        </w:rPr>
        <w:t xml:space="preserve"> כללית להתחדשות עירונית ואישורה, ממליצה הוועדה על מתווה מדורג.</w:t>
      </w:r>
    </w:p>
    <w:p w:rsidR="001266FB" w:rsidRPr="001266FB" w:rsidRDefault="001266FB" w:rsidP="001D58DE">
      <w:pPr>
        <w:rPr>
          <w:rFonts w:ascii="David" w:hAnsi="David" w:cs="David"/>
          <w:sz w:val="24"/>
          <w:szCs w:val="24"/>
          <w:rtl/>
        </w:rPr>
      </w:pPr>
      <w:r w:rsidRPr="001266FB">
        <w:rPr>
          <w:rFonts w:ascii="David" w:hAnsi="David" w:cs="David"/>
          <w:sz w:val="24"/>
          <w:szCs w:val="24"/>
          <w:rtl/>
        </w:rPr>
        <w:t>עיקרי המתווה:</w:t>
      </w:r>
    </w:p>
    <w:p w:rsidR="001266FB" w:rsidRPr="001266FB" w:rsidRDefault="001266FB" w:rsidP="001D58DE">
      <w:pPr>
        <w:rPr>
          <w:rFonts w:ascii="David" w:hAnsi="David" w:cs="David"/>
          <w:sz w:val="24"/>
          <w:szCs w:val="24"/>
          <w:rtl/>
        </w:rPr>
      </w:pPr>
      <w:r w:rsidRPr="001266FB">
        <w:rPr>
          <w:rFonts w:ascii="David" w:hAnsi="David" w:cs="David"/>
          <w:sz w:val="24"/>
          <w:szCs w:val="24"/>
          <w:rtl/>
        </w:rPr>
        <w:t xml:space="preserve">הוראות מעבר </w:t>
      </w:r>
    </w:p>
    <w:p w:rsidR="001266FB" w:rsidRPr="001266FB" w:rsidRDefault="001266FB" w:rsidP="001266FB">
      <w:pPr>
        <w:ind w:firstLine="720"/>
        <w:rPr>
          <w:rFonts w:ascii="David" w:hAnsi="David" w:cs="David"/>
          <w:sz w:val="24"/>
          <w:szCs w:val="24"/>
          <w:rtl/>
        </w:rPr>
      </w:pPr>
      <w:r w:rsidRPr="001266FB">
        <w:rPr>
          <w:rFonts w:ascii="David" w:hAnsi="David" w:cs="David"/>
          <w:sz w:val="24"/>
          <w:szCs w:val="24"/>
          <w:rtl/>
        </w:rPr>
        <w:t xml:space="preserve">הוראות </w:t>
      </w:r>
      <w:proofErr w:type="spellStart"/>
      <w:r w:rsidRPr="001266FB">
        <w:rPr>
          <w:rFonts w:ascii="David" w:hAnsi="David" w:cs="David"/>
          <w:sz w:val="24"/>
          <w:szCs w:val="24"/>
          <w:rtl/>
        </w:rPr>
        <w:t>התמ"א</w:t>
      </w:r>
      <w:proofErr w:type="spellEnd"/>
      <w:r w:rsidRPr="001266FB">
        <w:rPr>
          <w:rFonts w:ascii="David" w:hAnsi="David" w:cs="David"/>
          <w:sz w:val="24"/>
          <w:szCs w:val="24"/>
          <w:rtl/>
        </w:rPr>
        <w:t xml:space="preserve"> ימשיכו לחול עד לתאריך 1.10.22. בנוסף, תקבע הוראת מעבר לפיה בקשת להיתר שהוגשה לוועדה המקומית עד לתאריך זה, ימשיכו לחול עליה הוראות </w:t>
      </w:r>
      <w:proofErr w:type="spellStart"/>
      <w:r w:rsidRPr="001266FB">
        <w:rPr>
          <w:rFonts w:ascii="David" w:hAnsi="David" w:cs="David"/>
          <w:sz w:val="24"/>
          <w:szCs w:val="24"/>
          <w:rtl/>
        </w:rPr>
        <w:t>התמ"א</w:t>
      </w:r>
      <w:proofErr w:type="spellEnd"/>
      <w:r w:rsidRPr="001266FB">
        <w:rPr>
          <w:rFonts w:ascii="David" w:hAnsi="David" w:cs="David"/>
          <w:sz w:val="24"/>
          <w:szCs w:val="24"/>
          <w:rtl/>
        </w:rPr>
        <w:t>.</w:t>
      </w:r>
    </w:p>
    <w:p w:rsidR="001266FB" w:rsidRPr="001266FB" w:rsidRDefault="001266FB" w:rsidP="001266FB">
      <w:pPr>
        <w:ind w:firstLine="720"/>
        <w:rPr>
          <w:rFonts w:ascii="David" w:hAnsi="David" w:cs="David"/>
          <w:sz w:val="24"/>
          <w:szCs w:val="24"/>
          <w:rtl/>
        </w:rPr>
      </w:pPr>
      <w:r w:rsidRPr="001266FB">
        <w:rPr>
          <w:rFonts w:ascii="David" w:hAnsi="David" w:cs="David"/>
          <w:sz w:val="24"/>
          <w:szCs w:val="24"/>
          <w:rtl/>
        </w:rPr>
        <w:t xml:space="preserve">במקביל, יקודם תיקון חקיקה, לפיו תינתן סמכות לוועדה מקומית, לאשר </w:t>
      </w:r>
      <w:proofErr w:type="spellStart"/>
      <w:r w:rsidRPr="001266FB">
        <w:rPr>
          <w:rFonts w:ascii="David" w:hAnsi="David" w:cs="David"/>
          <w:sz w:val="24"/>
          <w:szCs w:val="24"/>
          <w:rtl/>
        </w:rPr>
        <w:t>תוכנית</w:t>
      </w:r>
      <w:proofErr w:type="spellEnd"/>
      <w:r w:rsidRPr="001266FB">
        <w:rPr>
          <w:rFonts w:ascii="David" w:hAnsi="David" w:cs="David"/>
          <w:sz w:val="24"/>
          <w:szCs w:val="24"/>
          <w:rtl/>
        </w:rPr>
        <w:t xml:space="preserve"> מפורטת, במגרשים שבהם קיימים מבנים הטעונים חיזוק (שניתן היתר לבנייתם לפני ה 1.1.80), להריסה ובניה מחדש. </w:t>
      </w:r>
    </w:p>
    <w:p w:rsidR="001266FB" w:rsidRPr="001266FB" w:rsidRDefault="001266FB" w:rsidP="001D58DE">
      <w:pPr>
        <w:rPr>
          <w:rFonts w:ascii="David" w:hAnsi="David" w:cs="David"/>
          <w:sz w:val="24"/>
          <w:szCs w:val="24"/>
          <w:rtl/>
        </w:rPr>
      </w:pPr>
      <w:r w:rsidRPr="001266FB">
        <w:rPr>
          <w:rFonts w:ascii="David" w:hAnsi="David" w:cs="David"/>
          <w:sz w:val="24"/>
          <w:szCs w:val="24"/>
          <w:rtl/>
        </w:rPr>
        <w:t>מתן סמכות לוועדה המקומית</w:t>
      </w:r>
    </w:p>
    <w:p w:rsidR="001266FB" w:rsidRPr="001266FB" w:rsidRDefault="001266FB" w:rsidP="001266FB">
      <w:pPr>
        <w:ind w:firstLine="720"/>
        <w:rPr>
          <w:rFonts w:ascii="David" w:hAnsi="David" w:cs="David"/>
          <w:sz w:val="24"/>
          <w:szCs w:val="24"/>
          <w:rtl/>
        </w:rPr>
      </w:pPr>
      <w:r w:rsidRPr="001266FB">
        <w:rPr>
          <w:rFonts w:ascii="David" w:hAnsi="David" w:cs="David"/>
          <w:sz w:val="24"/>
          <w:szCs w:val="24"/>
          <w:rtl/>
        </w:rPr>
        <w:t xml:space="preserve">במסגרת המתווה החדש, תינתן בחוק סמכות לוועדה המקומית לאשר בתוכניות התחדשות עירונית עירוב שימושים סחירים וציבוריים, בהיקף שיקבע בחוק. כמו כן יהיה לאחד מגרשים, להרחיב דרכים  ושטחי ציבור, דבר שלא ניתן לעשותו היום. </w:t>
      </w:r>
    </w:p>
    <w:p w:rsidR="001266FB" w:rsidRPr="001266FB" w:rsidRDefault="001266FB" w:rsidP="001D58DE">
      <w:pPr>
        <w:rPr>
          <w:rFonts w:ascii="David" w:hAnsi="David" w:cs="David"/>
          <w:sz w:val="24"/>
          <w:szCs w:val="24"/>
          <w:rtl/>
        </w:rPr>
      </w:pPr>
      <w:r w:rsidRPr="001266FB">
        <w:rPr>
          <w:rFonts w:ascii="David" w:hAnsi="David" w:cs="David"/>
          <w:sz w:val="24"/>
          <w:szCs w:val="24"/>
          <w:rtl/>
        </w:rPr>
        <w:t xml:space="preserve">קיצור זמנים </w:t>
      </w:r>
    </w:p>
    <w:p w:rsidR="001266FB" w:rsidRPr="001266FB" w:rsidRDefault="001266FB" w:rsidP="001266FB">
      <w:pPr>
        <w:ind w:firstLine="720"/>
        <w:rPr>
          <w:rFonts w:ascii="David" w:hAnsi="David" w:cs="David"/>
          <w:sz w:val="24"/>
          <w:szCs w:val="24"/>
          <w:rtl/>
        </w:rPr>
      </w:pPr>
      <w:r w:rsidRPr="001266FB">
        <w:rPr>
          <w:rFonts w:ascii="David" w:hAnsi="David" w:cs="David"/>
          <w:sz w:val="24"/>
          <w:szCs w:val="24"/>
          <w:rtl/>
        </w:rPr>
        <w:t xml:space="preserve">יקודם מנגנון חדש שיקצר את לוחות הזמנים, לפיו ניתן יהיה לראות בהחלטה לאישור </w:t>
      </w:r>
      <w:proofErr w:type="spellStart"/>
      <w:r w:rsidRPr="001266FB">
        <w:rPr>
          <w:rFonts w:ascii="David" w:hAnsi="David" w:cs="David"/>
          <w:sz w:val="24"/>
          <w:szCs w:val="24"/>
          <w:rtl/>
        </w:rPr>
        <w:t>תוכנית</w:t>
      </w:r>
      <w:proofErr w:type="spellEnd"/>
      <w:r w:rsidRPr="001266FB">
        <w:rPr>
          <w:rFonts w:ascii="David" w:hAnsi="David" w:cs="David"/>
          <w:sz w:val="24"/>
          <w:szCs w:val="24"/>
          <w:rtl/>
        </w:rPr>
        <w:t xml:space="preserve"> גם כהחלטה למתן היתר מכוח התכנית, כך שלא יהיה צורך להגיש בקשה להיתר בנפרד. </w:t>
      </w:r>
    </w:p>
    <w:p w:rsidR="001266FB" w:rsidRPr="001266FB" w:rsidRDefault="001266FB" w:rsidP="001D58DE">
      <w:pPr>
        <w:rPr>
          <w:rFonts w:ascii="David" w:hAnsi="David" w:cs="David"/>
          <w:sz w:val="24"/>
          <w:szCs w:val="24"/>
          <w:rtl/>
        </w:rPr>
      </w:pPr>
      <w:r w:rsidRPr="001266FB">
        <w:rPr>
          <w:rFonts w:ascii="David" w:hAnsi="David" w:cs="David"/>
          <w:sz w:val="24"/>
          <w:szCs w:val="24"/>
          <w:rtl/>
        </w:rPr>
        <w:t>היטל השבחה</w:t>
      </w:r>
    </w:p>
    <w:p w:rsidR="001266FB" w:rsidRDefault="001266FB" w:rsidP="001266FB">
      <w:pPr>
        <w:ind w:firstLine="720"/>
        <w:rPr>
          <w:rFonts w:ascii="David" w:hAnsi="David" w:cs="David"/>
          <w:sz w:val="24"/>
          <w:szCs w:val="24"/>
          <w:rtl/>
        </w:rPr>
      </w:pPr>
      <w:r w:rsidRPr="001266FB">
        <w:rPr>
          <w:rFonts w:ascii="David" w:hAnsi="David" w:cs="David"/>
          <w:sz w:val="24"/>
          <w:szCs w:val="24"/>
          <w:rtl/>
        </w:rPr>
        <w:t>הוועדה השתכנעה, כי יש לבחון את הטלת היטלי השבחה בפרויקטים  מסוג זה (הן במסלול חיזוק והן במסלול הריסה).</w:t>
      </w:r>
    </w:p>
    <w:p w:rsidR="001D58DE" w:rsidRDefault="001D58DE" w:rsidP="001D58DE">
      <w:pPr>
        <w:ind w:firstLine="720"/>
        <w:rPr>
          <w:rFonts w:ascii="David" w:hAnsi="David" w:cs="David"/>
          <w:sz w:val="24"/>
          <w:szCs w:val="24"/>
          <w:rtl/>
        </w:rPr>
      </w:pPr>
    </w:p>
    <w:p w:rsidR="001D58DE" w:rsidRDefault="001D58DE" w:rsidP="001D58DE">
      <w:pPr>
        <w:ind w:firstLine="720"/>
        <w:rPr>
          <w:rFonts w:ascii="David" w:hAnsi="David" w:cs="David"/>
          <w:sz w:val="24"/>
          <w:szCs w:val="24"/>
          <w:rtl/>
        </w:rPr>
      </w:pPr>
      <w:r>
        <w:rPr>
          <w:rFonts w:ascii="David" w:hAnsi="David" w:cs="David" w:hint="cs"/>
          <w:sz w:val="24"/>
          <w:szCs w:val="24"/>
          <w:rtl/>
        </w:rPr>
        <w:t xml:space="preserve">בברכה, </w:t>
      </w:r>
    </w:p>
    <w:p w:rsidR="001D58DE" w:rsidRPr="001266FB" w:rsidRDefault="001D58DE" w:rsidP="001D58DE">
      <w:pPr>
        <w:ind w:firstLine="720"/>
        <w:rPr>
          <w:rFonts w:ascii="David" w:hAnsi="David" w:cs="David"/>
          <w:sz w:val="24"/>
          <w:szCs w:val="24"/>
        </w:rPr>
      </w:pPr>
      <w:r>
        <w:rPr>
          <w:rFonts w:ascii="David" w:hAnsi="David" w:cs="David" w:hint="cs"/>
          <w:sz w:val="24"/>
          <w:szCs w:val="24"/>
          <w:rtl/>
        </w:rPr>
        <w:t>אסף</w:t>
      </w:r>
    </w:p>
    <w:sectPr w:rsidR="001D58DE" w:rsidRPr="001266FB" w:rsidSect="0026566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4A7" w:rsidRDefault="00EC04A7" w:rsidP="004A3E20">
      <w:pPr>
        <w:spacing w:after="0" w:line="240" w:lineRule="auto"/>
      </w:pPr>
      <w:r>
        <w:separator/>
      </w:r>
    </w:p>
  </w:endnote>
  <w:endnote w:type="continuationSeparator" w:id="0">
    <w:p w:rsidR="00EC04A7" w:rsidRDefault="00EC04A7" w:rsidP="004A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0" w:rsidRDefault="004A3E2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0" w:rsidRDefault="004A3E2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0" w:rsidRDefault="004A3E2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4A7" w:rsidRDefault="00EC04A7" w:rsidP="004A3E20">
      <w:pPr>
        <w:spacing w:after="0" w:line="240" w:lineRule="auto"/>
      </w:pPr>
      <w:r>
        <w:separator/>
      </w:r>
    </w:p>
  </w:footnote>
  <w:footnote w:type="continuationSeparator" w:id="0">
    <w:p w:rsidR="00EC04A7" w:rsidRDefault="00EC04A7" w:rsidP="004A3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0" w:rsidRDefault="004A3E2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0" w:rsidRDefault="004A3E20">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0" w:rsidRDefault="004A3E2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3C3B"/>
    <w:multiLevelType w:val="hybridMultilevel"/>
    <w:tmpl w:val="166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A2366"/>
    <w:multiLevelType w:val="hybridMultilevel"/>
    <w:tmpl w:val="AE20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56941"/>
    <w:multiLevelType w:val="hybridMultilevel"/>
    <w:tmpl w:val="78607126"/>
    <w:lvl w:ilvl="0" w:tplc="9A5AFE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38"/>
    <w:rsid w:val="000379C0"/>
    <w:rsid w:val="000629F4"/>
    <w:rsid w:val="000836DE"/>
    <w:rsid w:val="00087985"/>
    <w:rsid w:val="000E182C"/>
    <w:rsid w:val="001227CC"/>
    <w:rsid w:val="001266FB"/>
    <w:rsid w:val="00147465"/>
    <w:rsid w:val="00162061"/>
    <w:rsid w:val="001743C3"/>
    <w:rsid w:val="00177E3F"/>
    <w:rsid w:val="001804BF"/>
    <w:rsid w:val="001D1505"/>
    <w:rsid w:val="001D58DE"/>
    <w:rsid w:val="00200AB6"/>
    <w:rsid w:val="002207A9"/>
    <w:rsid w:val="0024276C"/>
    <w:rsid w:val="0025247C"/>
    <w:rsid w:val="0025710F"/>
    <w:rsid w:val="00265665"/>
    <w:rsid w:val="00266810"/>
    <w:rsid w:val="00296258"/>
    <w:rsid w:val="002C6338"/>
    <w:rsid w:val="003127A3"/>
    <w:rsid w:val="00385C15"/>
    <w:rsid w:val="003B4057"/>
    <w:rsid w:val="003B7D8F"/>
    <w:rsid w:val="003C1339"/>
    <w:rsid w:val="003E10F6"/>
    <w:rsid w:val="0042003A"/>
    <w:rsid w:val="004259E0"/>
    <w:rsid w:val="004A3E20"/>
    <w:rsid w:val="00540737"/>
    <w:rsid w:val="00560B7E"/>
    <w:rsid w:val="00592C43"/>
    <w:rsid w:val="005D177C"/>
    <w:rsid w:val="005D2061"/>
    <w:rsid w:val="005D7891"/>
    <w:rsid w:val="0060657B"/>
    <w:rsid w:val="006102AA"/>
    <w:rsid w:val="00626039"/>
    <w:rsid w:val="00691718"/>
    <w:rsid w:val="006A35D9"/>
    <w:rsid w:val="00704DB8"/>
    <w:rsid w:val="00715AC3"/>
    <w:rsid w:val="00722ADB"/>
    <w:rsid w:val="007311AA"/>
    <w:rsid w:val="007335C5"/>
    <w:rsid w:val="00746FA5"/>
    <w:rsid w:val="007568AD"/>
    <w:rsid w:val="007C1F33"/>
    <w:rsid w:val="00810BDF"/>
    <w:rsid w:val="00813824"/>
    <w:rsid w:val="008D55F1"/>
    <w:rsid w:val="00937EA1"/>
    <w:rsid w:val="00972571"/>
    <w:rsid w:val="009F1302"/>
    <w:rsid w:val="009F77AD"/>
    <w:rsid w:val="00A42073"/>
    <w:rsid w:val="00A4446F"/>
    <w:rsid w:val="00AA342C"/>
    <w:rsid w:val="00AB521B"/>
    <w:rsid w:val="00B272BE"/>
    <w:rsid w:val="00B516D9"/>
    <w:rsid w:val="00D35F1E"/>
    <w:rsid w:val="00D404D3"/>
    <w:rsid w:val="00D44C16"/>
    <w:rsid w:val="00DC08D4"/>
    <w:rsid w:val="00E06F45"/>
    <w:rsid w:val="00E73619"/>
    <w:rsid w:val="00E84029"/>
    <w:rsid w:val="00EA32C2"/>
    <w:rsid w:val="00EB1041"/>
    <w:rsid w:val="00EC04A7"/>
    <w:rsid w:val="00EC529A"/>
    <w:rsid w:val="00ED7FF8"/>
    <w:rsid w:val="00F9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D050"/>
  <w15:docId w15:val="{3EB84EC7-921A-468B-AACF-5F0F6048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3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6338"/>
    <w:rPr>
      <w:rFonts w:ascii="Tahoma" w:hAnsi="Tahoma" w:cs="Tahoma"/>
      <w:sz w:val="16"/>
      <w:szCs w:val="16"/>
    </w:rPr>
  </w:style>
  <w:style w:type="paragraph" w:styleId="a5">
    <w:name w:val="List Paragraph"/>
    <w:basedOn w:val="a"/>
    <w:uiPriority w:val="34"/>
    <w:qFormat/>
    <w:rsid w:val="00200AB6"/>
    <w:pPr>
      <w:ind w:left="720"/>
      <w:contextualSpacing/>
    </w:pPr>
  </w:style>
  <w:style w:type="paragraph" w:styleId="a6">
    <w:name w:val="header"/>
    <w:basedOn w:val="a"/>
    <w:link w:val="a7"/>
    <w:uiPriority w:val="99"/>
    <w:unhideWhenUsed/>
    <w:rsid w:val="004A3E20"/>
    <w:pPr>
      <w:tabs>
        <w:tab w:val="center" w:pos="4680"/>
        <w:tab w:val="right" w:pos="9360"/>
      </w:tabs>
      <w:spacing w:after="0" w:line="240" w:lineRule="auto"/>
    </w:pPr>
  </w:style>
  <w:style w:type="character" w:customStyle="1" w:styleId="a7">
    <w:name w:val="כותרת עליונה תו"/>
    <w:basedOn w:val="a0"/>
    <w:link w:val="a6"/>
    <w:uiPriority w:val="99"/>
    <w:rsid w:val="004A3E20"/>
  </w:style>
  <w:style w:type="paragraph" w:styleId="a8">
    <w:name w:val="footer"/>
    <w:basedOn w:val="a"/>
    <w:link w:val="a9"/>
    <w:uiPriority w:val="99"/>
    <w:unhideWhenUsed/>
    <w:rsid w:val="004A3E20"/>
    <w:pPr>
      <w:tabs>
        <w:tab w:val="center" w:pos="4680"/>
        <w:tab w:val="right" w:pos="9360"/>
      </w:tabs>
      <w:spacing w:after="0" w:line="240" w:lineRule="auto"/>
    </w:pPr>
  </w:style>
  <w:style w:type="character" w:customStyle="1" w:styleId="a9">
    <w:name w:val="כותרת תחתונה תו"/>
    <w:basedOn w:val="a0"/>
    <w:link w:val="a8"/>
    <w:uiPriority w:val="99"/>
    <w:rsid w:val="004A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4019">
      <w:bodyDiv w:val="1"/>
      <w:marLeft w:val="0"/>
      <w:marRight w:val="0"/>
      <w:marTop w:val="0"/>
      <w:marBottom w:val="0"/>
      <w:divBdr>
        <w:top w:val="none" w:sz="0" w:space="0" w:color="auto"/>
        <w:left w:val="none" w:sz="0" w:space="0" w:color="auto"/>
        <w:bottom w:val="none" w:sz="0" w:space="0" w:color="auto"/>
        <w:right w:val="none" w:sz="0" w:space="0" w:color="auto"/>
      </w:divBdr>
    </w:div>
    <w:div w:id="385952046">
      <w:bodyDiv w:val="1"/>
      <w:marLeft w:val="0"/>
      <w:marRight w:val="0"/>
      <w:marTop w:val="0"/>
      <w:marBottom w:val="0"/>
      <w:divBdr>
        <w:top w:val="none" w:sz="0" w:space="0" w:color="auto"/>
        <w:left w:val="none" w:sz="0" w:space="0" w:color="auto"/>
        <w:bottom w:val="none" w:sz="0" w:space="0" w:color="auto"/>
        <w:right w:val="none" w:sz="0" w:space="0" w:color="auto"/>
      </w:divBdr>
    </w:div>
    <w:div w:id="682514772">
      <w:bodyDiv w:val="1"/>
      <w:marLeft w:val="0"/>
      <w:marRight w:val="0"/>
      <w:marTop w:val="0"/>
      <w:marBottom w:val="0"/>
      <w:divBdr>
        <w:top w:val="none" w:sz="0" w:space="0" w:color="auto"/>
        <w:left w:val="none" w:sz="0" w:space="0" w:color="auto"/>
        <w:bottom w:val="none" w:sz="0" w:space="0" w:color="auto"/>
        <w:right w:val="none" w:sz="0" w:space="0" w:color="auto"/>
      </w:divBdr>
    </w:div>
    <w:div w:id="855273757">
      <w:bodyDiv w:val="1"/>
      <w:marLeft w:val="0"/>
      <w:marRight w:val="0"/>
      <w:marTop w:val="0"/>
      <w:marBottom w:val="0"/>
      <w:divBdr>
        <w:top w:val="none" w:sz="0" w:space="0" w:color="auto"/>
        <w:left w:val="none" w:sz="0" w:space="0" w:color="auto"/>
        <w:bottom w:val="none" w:sz="0" w:space="0" w:color="auto"/>
        <w:right w:val="none" w:sz="0" w:space="0" w:color="auto"/>
      </w:divBdr>
      <w:divsChild>
        <w:div w:id="678696229">
          <w:marLeft w:val="0"/>
          <w:marRight w:val="0"/>
          <w:marTop w:val="0"/>
          <w:marBottom w:val="0"/>
          <w:divBdr>
            <w:top w:val="none" w:sz="0" w:space="0" w:color="auto"/>
            <w:left w:val="none" w:sz="0" w:space="0" w:color="auto"/>
            <w:bottom w:val="none" w:sz="0" w:space="0" w:color="auto"/>
            <w:right w:val="none" w:sz="0" w:space="0" w:color="auto"/>
          </w:divBdr>
        </w:div>
        <w:div w:id="835994867">
          <w:marLeft w:val="0"/>
          <w:marRight w:val="0"/>
          <w:marTop w:val="0"/>
          <w:marBottom w:val="0"/>
          <w:divBdr>
            <w:top w:val="none" w:sz="0" w:space="0" w:color="auto"/>
            <w:left w:val="none" w:sz="0" w:space="0" w:color="auto"/>
            <w:bottom w:val="none" w:sz="0" w:space="0" w:color="auto"/>
            <w:right w:val="none" w:sz="0" w:space="0" w:color="auto"/>
          </w:divBdr>
        </w:div>
        <w:div w:id="1305038386">
          <w:marLeft w:val="0"/>
          <w:marRight w:val="0"/>
          <w:marTop w:val="0"/>
          <w:marBottom w:val="0"/>
          <w:divBdr>
            <w:top w:val="none" w:sz="0" w:space="0" w:color="auto"/>
            <w:left w:val="none" w:sz="0" w:space="0" w:color="auto"/>
            <w:bottom w:val="none" w:sz="0" w:space="0" w:color="auto"/>
            <w:right w:val="none" w:sz="0" w:space="0" w:color="auto"/>
          </w:divBdr>
        </w:div>
        <w:div w:id="1692102970">
          <w:marLeft w:val="0"/>
          <w:marRight w:val="0"/>
          <w:marTop w:val="0"/>
          <w:marBottom w:val="0"/>
          <w:divBdr>
            <w:top w:val="none" w:sz="0" w:space="0" w:color="auto"/>
            <w:left w:val="none" w:sz="0" w:space="0" w:color="auto"/>
            <w:bottom w:val="none" w:sz="0" w:space="0" w:color="auto"/>
            <w:right w:val="none" w:sz="0" w:space="0" w:color="auto"/>
          </w:divBdr>
        </w:div>
        <w:div w:id="1424453480">
          <w:marLeft w:val="0"/>
          <w:marRight w:val="0"/>
          <w:marTop w:val="0"/>
          <w:marBottom w:val="0"/>
          <w:divBdr>
            <w:top w:val="none" w:sz="0" w:space="0" w:color="auto"/>
            <w:left w:val="none" w:sz="0" w:space="0" w:color="auto"/>
            <w:bottom w:val="none" w:sz="0" w:space="0" w:color="auto"/>
            <w:right w:val="none" w:sz="0" w:space="0" w:color="auto"/>
          </w:divBdr>
        </w:div>
        <w:div w:id="253176030">
          <w:marLeft w:val="0"/>
          <w:marRight w:val="0"/>
          <w:marTop w:val="0"/>
          <w:marBottom w:val="0"/>
          <w:divBdr>
            <w:top w:val="none" w:sz="0" w:space="0" w:color="auto"/>
            <w:left w:val="none" w:sz="0" w:space="0" w:color="auto"/>
            <w:bottom w:val="none" w:sz="0" w:space="0" w:color="auto"/>
            <w:right w:val="none" w:sz="0" w:space="0" w:color="auto"/>
          </w:divBdr>
        </w:div>
        <w:div w:id="1803840382">
          <w:marLeft w:val="0"/>
          <w:marRight w:val="0"/>
          <w:marTop w:val="0"/>
          <w:marBottom w:val="0"/>
          <w:divBdr>
            <w:top w:val="none" w:sz="0" w:space="0" w:color="auto"/>
            <w:left w:val="none" w:sz="0" w:space="0" w:color="auto"/>
            <w:bottom w:val="none" w:sz="0" w:space="0" w:color="auto"/>
            <w:right w:val="none" w:sz="0" w:space="0" w:color="auto"/>
          </w:divBdr>
        </w:div>
        <w:div w:id="1909800123">
          <w:marLeft w:val="0"/>
          <w:marRight w:val="0"/>
          <w:marTop w:val="0"/>
          <w:marBottom w:val="0"/>
          <w:divBdr>
            <w:top w:val="none" w:sz="0" w:space="0" w:color="auto"/>
            <w:left w:val="none" w:sz="0" w:space="0" w:color="auto"/>
            <w:bottom w:val="none" w:sz="0" w:space="0" w:color="auto"/>
            <w:right w:val="none" w:sz="0" w:space="0" w:color="auto"/>
          </w:divBdr>
        </w:div>
        <w:div w:id="1987587512">
          <w:marLeft w:val="0"/>
          <w:marRight w:val="0"/>
          <w:marTop w:val="0"/>
          <w:marBottom w:val="0"/>
          <w:divBdr>
            <w:top w:val="none" w:sz="0" w:space="0" w:color="auto"/>
            <w:left w:val="none" w:sz="0" w:space="0" w:color="auto"/>
            <w:bottom w:val="none" w:sz="0" w:space="0" w:color="auto"/>
            <w:right w:val="none" w:sz="0" w:space="0" w:color="auto"/>
          </w:divBdr>
        </w:div>
        <w:div w:id="166136530">
          <w:marLeft w:val="0"/>
          <w:marRight w:val="0"/>
          <w:marTop w:val="0"/>
          <w:marBottom w:val="0"/>
          <w:divBdr>
            <w:top w:val="none" w:sz="0" w:space="0" w:color="auto"/>
            <w:left w:val="none" w:sz="0" w:space="0" w:color="auto"/>
            <w:bottom w:val="none" w:sz="0" w:space="0" w:color="auto"/>
            <w:right w:val="none" w:sz="0" w:space="0" w:color="auto"/>
          </w:divBdr>
        </w:div>
        <w:div w:id="584848652">
          <w:marLeft w:val="0"/>
          <w:marRight w:val="0"/>
          <w:marTop w:val="0"/>
          <w:marBottom w:val="0"/>
          <w:divBdr>
            <w:top w:val="none" w:sz="0" w:space="0" w:color="auto"/>
            <w:left w:val="none" w:sz="0" w:space="0" w:color="auto"/>
            <w:bottom w:val="none" w:sz="0" w:space="0" w:color="auto"/>
            <w:right w:val="none" w:sz="0" w:space="0" w:color="auto"/>
          </w:divBdr>
        </w:div>
        <w:div w:id="2123576073">
          <w:marLeft w:val="0"/>
          <w:marRight w:val="0"/>
          <w:marTop w:val="0"/>
          <w:marBottom w:val="0"/>
          <w:divBdr>
            <w:top w:val="none" w:sz="0" w:space="0" w:color="auto"/>
            <w:left w:val="none" w:sz="0" w:space="0" w:color="auto"/>
            <w:bottom w:val="none" w:sz="0" w:space="0" w:color="auto"/>
            <w:right w:val="none" w:sz="0" w:space="0" w:color="auto"/>
          </w:divBdr>
        </w:div>
        <w:div w:id="123274930">
          <w:marLeft w:val="0"/>
          <w:marRight w:val="0"/>
          <w:marTop w:val="0"/>
          <w:marBottom w:val="0"/>
          <w:divBdr>
            <w:top w:val="none" w:sz="0" w:space="0" w:color="auto"/>
            <w:left w:val="none" w:sz="0" w:space="0" w:color="auto"/>
            <w:bottom w:val="none" w:sz="0" w:space="0" w:color="auto"/>
            <w:right w:val="none" w:sz="0" w:space="0" w:color="auto"/>
          </w:divBdr>
        </w:div>
        <w:div w:id="1530413145">
          <w:marLeft w:val="0"/>
          <w:marRight w:val="0"/>
          <w:marTop w:val="0"/>
          <w:marBottom w:val="0"/>
          <w:divBdr>
            <w:top w:val="none" w:sz="0" w:space="0" w:color="auto"/>
            <w:left w:val="none" w:sz="0" w:space="0" w:color="auto"/>
            <w:bottom w:val="none" w:sz="0" w:space="0" w:color="auto"/>
            <w:right w:val="none" w:sz="0" w:space="0" w:color="auto"/>
          </w:divBdr>
        </w:div>
      </w:divsChild>
    </w:div>
    <w:div w:id="1009407000">
      <w:bodyDiv w:val="1"/>
      <w:marLeft w:val="0"/>
      <w:marRight w:val="0"/>
      <w:marTop w:val="0"/>
      <w:marBottom w:val="0"/>
      <w:divBdr>
        <w:top w:val="none" w:sz="0" w:space="0" w:color="auto"/>
        <w:left w:val="none" w:sz="0" w:space="0" w:color="auto"/>
        <w:bottom w:val="none" w:sz="0" w:space="0" w:color="auto"/>
        <w:right w:val="none" w:sz="0" w:space="0" w:color="auto"/>
      </w:divBdr>
    </w:div>
    <w:div w:id="1206065989">
      <w:bodyDiv w:val="1"/>
      <w:marLeft w:val="0"/>
      <w:marRight w:val="0"/>
      <w:marTop w:val="0"/>
      <w:marBottom w:val="0"/>
      <w:divBdr>
        <w:top w:val="none" w:sz="0" w:space="0" w:color="auto"/>
        <w:left w:val="none" w:sz="0" w:space="0" w:color="auto"/>
        <w:bottom w:val="none" w:sz="0" w:space="0" w:color="auto"/>
        <w:right w:val="none" w:sz="0" w:space="0" w:color="auto"/>
      </w:divBdr>
    </w:div>
    <w:div w:id="1468547700">
      <w:bodyDiv w:val="1"/>
      <w:marLeft w:val="0"/>
      <w:marRight w:val="0"/>
      <w:marTop w:val="0"/>
      <w:marBottom w:val="0"/>
      <w:divBdr>
        <w:top w:val="none" w:sz="0" w:space="0" w:color="auto"/>
        <w:left w:val="none" w:sz="0" w:space="0" w:color="auto"/>
        <w:bottom w:val="none" w:sz="0" w:space="0" w:color="auto"/>
        <w:right w:val="none" w:sz="0" w:space="0" w:color="auto"/>
      </w:divBdr>
    </w:div>
    <w:div w:id="2013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2652</TotalTime>
  <Pages>2</Pages>
  <Words>508</Words>
  <Characters>2542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DrorB</dc:creator>
  <cp:lastModifiedBy>Asaf</cp:lastModifiedBy>
  <cp:revision>29</cp:revision>
  <dcterms:created xsi:type="dcterms:W3CDTF">2018-03-20T06:59:00Z</dcterms:created>
  <dcterms:modified xsi:type="dcterms:W3CDTF">2019-10-23T06:07:00Z</dcterms:modified>
</cp:coreProperties>
</file>